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ecure-disposal-of-it-equipment"/>
    <w:p>
      <w:pPr>
        <w:pStyle w:val="Heading1"/>
      </w:pPr>
      <w:r>
        <w:t xml:space="preserve">Secure disposal of IT equipment</w:t>
      </w:r>
    </w:p>
    <w:p>
      <w:pPr>
        <w:pStyle w:val="FirstParagraph"/>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bookmarkStart w:id="23" w:name="secure-disposal-organisations"/>
    <w:p>
      <w:pPr>
        <w:pStyle w:val="Heading2"/>
      </w:pPr>
      <w:r>
        <w:t xml:space="preserve">Secure disposal organisations</w:t>
      </w:r>
    </w:p>
    <w:p>
      <w:pPr>
        <w:pStyle w:val="FirstParagraph"/>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bookmarkEnd w:id="23"/>
    <w:bookmarkStart w:id="24" w:name="moving-equipment-between-sites"/>
    <w:p>
      <w:pPr>
        <w:pStyle w:val="Heading2"/>
      </w:pPr>
      <w:r>
        <w:t xml:space="preserve">Moving equipment between sites</w:t>
      </w:r>
    </w:p>
    <w:p>
      <w:pPr>
        <w:pStyle w:val="FirstParagraph"/>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