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Authentication</w:t>
      </w:r>
    </w:p>
    <w:bookmarkStart w:id="34" w:name="ariaid-title1"/>
    <w:p>
      <w:pPr>
        <w:pStyle w:val="Heading1"/>
      </w:pPr>
      <w:r>
        <w:t xml:space="preserve">Authentication</w:t>
      </w:r>
    </w:p>
    <w:bookmarkStart w:id="20" w:name="ariaid-title2"/>
    <w:p>
      <w:pPr>
        <w:pStyle w:val="Heading2"/>
      </w:pPr>
      <w:r>
        <w:t xml:space="preserve">The base principle</w:t>
      </w:r>
    </w:p>
    <w:p>
      <w:pPr>
        <w:pStyle w:val="FirstParagraph"/>
      </w:pPr>
      <w:r>
        <w:t xml:space="preserve">Any access to any data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employ adequate authentication techniques to identify the system or user to a suitable level of confidence for the system or data within.</w:t>
      </w:r>
    </w:p>
    <w:bookmarkEnd w:id="20"/>
    <w:bookmarkStart w:id="22" w:name="ariaid-title3"/>
    <w:p>
      <w:pPr>
        <w:pStyle w:val="Heading2"/>
      </w:pPr>
      <w:r>
        <w:t xml:space="preserve">Passwords</w:t>
      </w:r>
    </w:p>
    <w:p>
      <w:pPr>
        <w:pStyle w:val="FirstParagraph"/>
      </w:pPr>
      <w:r>
        <w:t xml:space="preserve">Where appropriate, passwords should be used as a knowledge-based factor for authentication.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has published the</w:t>
      </w:r>
      <w:r>
        <w:t xml:space="preserve"> </w:t>
      </w:r>
      <w:hyperlink r:id="rId21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Password Standard</w:t>
        </w:r>
      </w:hyperlink>
      <w:r>
        <w:t xml:space="preserve">.</w:t>
      </w:r>
    </w:p>
    <w:bookmarkEnd w:id="22"/>
    <w:bookmarkStart w:id="24" w:name="ariaid-title4"/>
    <w:p>
      <w:pPr>
        <w:pStyle w:val="Heading2"/>
      </w:pPr>
      <w:r>
        <w:t xml:space="preserve">Named individual accounts</w:t>
      </w:r>
    </w:p>
    <w:p>
      <w:pPr>
        <w:pStyle w:val="FirstParagraph"/>
      </w:pPr>
      <w:r>
        <w:t xml:space="preserve">Human user access must have unique, named and private accounts issued (with shared accounts being a rare, intentional and considered exception to this rule).</w:t>
      </w:r>
    </w:p>
    <w:p>
      <w:pPr>
        <w:pStyle w:val="BodyText"/>
      </w:pPr>
      <w:r>
        <w:t xml:space="preserve">For example: Jonathan Bloggs is issued with a user account only Jonathan uses and may access.</w:t>
      </w:r>
    </w:p>
    <w:bookmarkStart w:id="23" w:name="ariaid-title5"/>
    <w:p>
      <w:pPr>
        <w:pStyle w:val="Heading3"/>
      </w:pPr>
      <w:r>
        <w:t xml:space="preserve">Account sharing</w:t>
      </w:r>
    </w:p>
    <w:p>
      <w:pPr>
        <w:pStyle w:val="FirstParagraph"/>
      </w:pPr>
      <w:r>
        <w:t xml:space="preserve">Accounts must not be shared unless they are defined as shared accounts, where additional authentication and authorisation techniques may be required.</w:t>
      </w:r>
    </w:p>
    <w:p>
      <w:pPr>
        <w:pStyle w:val="BodyText"/>
      </w:pPr>
      <w:r>
        <w:t xml:space="preserve">For example:</w:t>
      </w:r>
    </w:p>
    <w:p>
      <w:pPr>
        <w:numPr>
          <w:ilvl w:val="0"/>
          <w:numId w:val="1001"/>
        </w:numPr>
      </w:pPr>
      <w:r>
        <w:t xml:space="preserve">individuals must not share a 'root' account, but be issued named accounts with appropriate privileges instead;</w:t>
      </w:r>
    </w:p>
    <w:p>
      <w:pPr>
        <w:numPr>
          <w:ilvl w:val="0"/>
          <w:numId w:val="1001"/>
        </w:numPr>
      </w:pPr>
      <w:r>
        <w:t xml:space="preserve">Individuals must not share a single Secure Shell (SSH) private key, but generate private and individual keypairs and their public key associated to locations where authentication is required.</w:t>
      </w:r>
    </w:p>
    <w:bookmarkEnd w:id="23"/>
    <w:bookmarkEnd w:id="24"/>
    <w:bookmarkStart w:id="25" w:name="ariaid-title6"/>
    <w:p>
      <w:pPr>
        <w:pStyle w:val="Heading2"/>
      </w:pPr>
      <w:r>
        <w:t xml:space="preserve">System-system accounts</w:t>
      </w:r>
    </w:p>
    <w:p>
      <w:pPr>
        <w:pStyle w:val="FirstParagraph"/>
      </w:pPr>
      <w:r>
        <w:t xml:space="preserve">Accounts designed for programmatic or system/service integation must be unique for each purpose, particularly in separation between different environments - such as pre-production and production.</w:t>
      </w:r>
    </w:p>
    <w:p>
      <w:pPr>
        <w:pStyle w:val="BodyText"/>
      </w:pPr>
      <w:r>
        <w:t xml:space="preserve">System-system accounts must be protected against human intervention.</w:t>
      </w:r>
    </w:p>
    <w:p>
      <w:pPr>
        <w:pStyle w:val="BodyText"/>
      </w:pPr>
      <w:r>
        <w:t xml:space="preserve">Token-based methods are preferred over static private key methods.</w:t>
      </w:r>
    </w:p>
    <w:bookmarkEnd w:id="25"/>
    <w:bookmarkStart w:id="29" w:name="ariaid-title7"/>
    <w:p>
      <w:pPr>
        <w:pStyle w:val="Heading2"/>
      </w:pPr>
      <w:r>
        <w:t xml:space="preserve">Multi-Factor Authentication</w:t>
      </w:r>
    </w:p>
    <w:p>
      <w:pPr>
        <w:pStyle w:val="FirstParagraph"/>
      </w:pPr>
      <w:r>
        <w:t xml:space="preserve">Where appropriate, multi-factor authentication (MFA) should be used as a knowledge-based factor for authentication. MFA is sometimes referred to as Two-Factor Authentication (2FA).</w:t>
      </w:r>
    </w:p>
    <w:p>
      <w:pPr>
        <w:pStyle w:val="BodyText"/>
      </w:pPr>
      <w:r>
        <w:t xml:space="preserve">MoJ</w:t>
      </w:r>
      <w:r>
        <w:t xml:space="preserve"> </w:t>
      </w:r>
      <w:r>
        <w:t xml:space="preserve">guidance on MFA is available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7" w:name="ariaid-title8"/>
    <w:p>
      <w:pPr>
        <w:pStyle w:val="Heading3"/>
      </w:pPr>
      <w:r>
        <w:t xml:space="preserve">MFA for Administrators</w:t>
      </w:r>
    </w:p>
    <w:p>
      <w:pPr>
        <w:pStyle w:val="FirstParagraph"/>
      </w:pPr>
      <w:r>
        <w:t xml:space="preserve">Administrative accounts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always have MFA, unless impractical to do so. Ensure there are techniques in-place such that MFA is always enabled and active for each account.</w:t>
      </w:r>
    </w:p>
    <w:bookmarkEnd w:id="27"/>
    <w:bookmarkStart w:id="28" w:name="ariaid-title9"/>
    <w:p>
      <w:pPr>
        <w:pStyle w:val="Heading3"/>
      </w:pPr>
      <w:r>
        <w:t xml:space="preserve">MFA for important or privileged actions</w:t>
      </w:r>
    </w:p>
    <w:p>
      <w:pPr>
        <w:pStyle w:val="FirstParagraph"/>
      </w:pPr>
      <w:r>
        <w:t xml:space="preserve">MFA should be re-requested from the user for important or privileged actions such as changing fundemental configurations such as registered email address or adding another administrator.</w:t>
      </w:r>
    </w:p>
    <w:p>
      <w:pPr>
        <w:pStyle w:val="BodyText"/>
      </w:pPr>
      <w:r>
        <w:t xml:space="preserve">MFA can also be used as a validation step, to ensure the user understands and is confirming the action they have requested, such as an MFA re-prompt when attempting to delete data.</w:t>
      </w:r>
    </w:p>
    <w:bookmarkEnd w:id="28"/>
    <w:bookmarkEnd w:id="29"/>
    <w:bookmarkStart w:id="33" w:name="ariaid-title10"/>
    <w:p>
      <w:pPr>
        <w:pStyle w:val="Heading2"/>
      </w:pPr>
      <w:r>
        <w:t xml:space="preserve">IP addresses</w:t>
      </w:r>
    </w:p>
    <w:bookmarkStart w:id="30" w:name="ariaid-title11"/>
    <w:p>
      <w:pPr>
        <w:pStyle w:val="Heading3"/>
      </w:pPr>
      <w:r>
        <w:t xml:space="preserve">Trusting IP addresses</w:t>
      </w:r>
    </w:p>
    <w:p>
      <w:pPr>
        <w:pStyle w:val="FirstParagraph"/>
      </w:pPr>
      <w:r>
        <w:t xml:space="preserve">IP addresses in and of themselves do not constitute authentication but may be considered a minor authentication</w:t>
      </w:r>
      <w:r>
        <w:t xml:space="preserve"> </w:t>
      </w:r>
      <w:r>
        <w:rPr>
          <w:iCs/>
          <w:i/>
        </w:rPr>
        <w:t xml:space="preserve">indicator</w:t>
      </w:r>
      <w:r>
        <w:t xml:space="preserve"> </w:t>
      </w:r>
      <w:r>
        <w:t xml:space="preserve">when combined with other authentication and authorisation techniques.</w:t>
      </w:r>
    </w:p>
    <w:p>
      <w:pPr>
        <w:pStyle w:val="BodyText"/>
      </w:pPr>
      <w:r>
        <w:t xml:space="preserve">For example, traffic originating from a perceived known IP address/range does not automatically mean it is the perceived user(s) however it could be used as an indicator to</w:t>
      </w:r>
      <w:r>
        <w:t xml:space="preserve"> </w:t>
      </w:r>
      <w:r>
        <w:rPr>
          <w:iCs/>
          <w:i/>
        </w:rPr>
        <w:t xml:space="preserve">reduce</w:t>
      </w:r>
      <w:r>
        <w:t xml:space="preserve"> </w:t>
      </w:r>
      <w:r>
        <w:t xml:space="preserve">(not eliminate) how often MFA is requested</w:t>
      </w:r>
      <w:r>
        <w:t xml:space="preserve"> </w:t>
      </w:r>
      <w:r>
        <w:rPr>
          <w:iCs/>
          <w:i/>
        </w:rPr>
        <w:t xml:space="preserve">within</w:t>
      </w:r>
      <w:r>
        <w:t xml:space="preserve"> </w:t>
      </w:r>
      <w:r>
        <w:t xml:space="preserve">an existing session.</w:t>
      </w:r>
    </w:p>
    <w:bookmarkEnd w:id="30"/>
    <w:bookmarkStart w:id="32" w:name="ariaid-title12"/>
    <w:p>
      <w:pPr>
        <w:pStyle w:val="Heading3"/>
      </w:pPr>
      <w:r>
        <w:t xml:space="preserve">IP address for non-production systems</w:t>
      </w:r>
    </w:p>
    <w:p>
      <w:pPr>
        <w:pStyle w:val="FirstParagraph"/>
      </w:pPr>
      <w:r>
        <w:t xml:space="preserve">IP addresses access control lists (and/or techniques such as HTTP basic authentication) should be used to restrict access to non-production systems you do not wish general users to access.</w:t>
      </w:r>
    </w:p>
    <w:p>
      <w:pPr>
        <w:pStyle w:val="BodyText"/>
      </w:pPr>
      <w:r>
        <w:t xml:space="preserve">H/T</w:t>
      </w:r>
      <w:r>
        <w:t xml:space="preserve"> </w:t>
      </w:r>
      <w:hyperlink r:id="rId31">
        <w:r>
          <w:rPr>
            <w:rStyle w:val="Hyperlink"/>
          </w:rPr>
          <w:t xml:space="preserve">https://medium.com/@joelgsamuel/ip-address-access-control-lists-are-not-as-great-as-you-think-they-are-4176b7d68f20</w:t>
        </w:r>
      </w:hyperlink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ntranet.justice.gov.uk/guidance/security/it-computer-security/ict-security-policy-framework/password-standard/" TargetMode="External" /><Relationship Type="http://schemas.openxmlformats.org/officeDocument/2006/relationships/hyperlink" Id="rId31" Target="https://medium.com/@joelgsamuel/ip-address-access-control-lists-are-not-as-great-as-you-think-they-are-4176b7d68f20" TargetMode="External" /><Relationship Type="http://schemas.openxmlformats.org/officeDocument/2006/relationships/hyperlink" Id="rId26" Target="multi-factor-authentication-mfa-guid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ntranet.justice.gov.uk/guidance/security/it-computer-security/ict-security-policy-framework/password-standard/" TargetMode="External" /><Relationship Type="http://schemas.openxmlformats.org/officeDocument/2006/relationships/hyperlink" Id="rId31" Target="https://medium.com/@joelgsamuel/ip-address-access-control-lists-are-not-as-great-as-you-think-they-are-4176b7d68f20" TargetMode="External" /><Relationship Type="http://schemas.openxmlformats.org/officeDocument/2006/relationships/hyperlink" Id="rId26" Target="multi-factor-authentication-mfa-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Authentication</dc:title>
  <dc:creator/>
  <dc:language>en</dc:language>
  <cp:keywords/>
  <dcterms:created xsi:type="dcterms:W3CDTF">2021-01-04T16:40:40Z</dcterms:created>
  <dcterms:modified xsi:type="dcterms:W3CDTF">2021-01-04T16:40:40Z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authentication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