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Government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Scheme</w:t>
      </w:r>
    </w:p>
    <w:bookmarkStart w:id="23" w:name="ariaid-title1"/>
    <w:p>
      <w:pPr>
        <w:pStyle w:val="Heading1"/>
      </w:pPr>
      <w:r>
        <w:t xml:space="preserve">Government Classification Scheme</w:t>
      </w:r>
    </w:p>
    <w:p>
      <w:pPr>
        <w:pStyle w:val="FirstParagraph"/>
      </w:pPr>
      <w:r>
        <w:t xml:space="preserve">These summary guidelines are based on</w:t>
      </w:r>
      <w:r>
        <w:t xml:space="preserve"> </w:t>
      </w:r>
      <w:r>
        <w:t xml:space="preserve">“</w:t>
      </w:r>
      <w:r>
        <w:t xml:space="preserve">The Government Security Classification (GSC)</w:t>
      </w:r>
      <w:r>
        <w:t xml:space="preserve">”</w:t>
      </w:r>
      <w:r>
        <w:t xml:space="preserve"> </w:t>
      </w:r>
      <w:r>
        <w:t xml:space="preserve">as issued by the Cabinet Office in 2018.</w:t>
      </w:r>
      <w:r>
        <w:t xml:space="preserve"> </w:t>
      </w:r>
      <w:r>
        <w:t xml:space="preserve">The link below provides full handling guidance for information classifications including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: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https://www.gov.uk/government/publications/government-security-classifications</w:t>
        </w:r>
      </w:hyperlink>
    </w:p>
    <w:p>
      <w:pPr>
        <w:pStyle w:val="BodyText"/>
      </w:pPr>
      <w:r>
        <w:t xml:space="preserve">In summary,</w:t>
      </w:r>
      <w:r>
        <w:t xml:space="preserve"> </w:t>
      </w:r>
      <w:r>
        <w:t xml:space="preserve">the majority of information that is created or processed by the public sector is now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  <w:r>
        <w:t xml:space="preserve"> </w:t>
      </w:r>
      <w:r>
        <w:t xml:space="preserve">The other two classifications are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SECRET</w:t>
      </w:r>
      <w:r>
        <w:t xml:space="preserve"> </w:t>
      </w:r>
      <w:r>
        <w:t xml:space="preserve">classification should be used on very sensitive information that justifies heightened protective measures</w:t>
      </w:r>
      <w:r>
        <w:t xml:space="preserve"> </w:t>
      </w:r>
      <w:r>
        <w:t xml:space="preserve">to defend against determined and highly capable threat actors.</w:t>
      </w:r>
    </w:p>
    <w:p>
      <w:pPr>
        <w:pStyle w:val="BodyText"/>
      </w:pPr>
      <w:r>
        <w:rPr>
          <w:rStyle w:val="VerbatimChar"/>
        </w:rPr>
        <w:t xml:space="preserve">TOP SECRET</w:t>
      </w:r>
      <w:r>
        <w:t xml:space="preserve"> </w:t>
      </w:r>
      <w:r>
        <w:t xml:space="preserve">is HMG's most sensitive information requiring the highest levels of protection from the most serious threats.</w:t>
      </w:r>
    </w:p>
    <w:p>
      <w:pPr>
        <w:pStyle w:val="BodyText"/>
      </w:pPr>
      <w:r>
        <w:t xml:space="preserve">Classifications can have additional indicators, providing extra information about looking after the information with that classification.</w:t>
      </w:r>
      <w:r>
        <w:t xml:space="preserve"> </w:t>
      </w:r>
      <w:r>
        <w:t xml:space="preserve">A frequently-seen example is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.</w:t>
      </w:r>
      <w:r>
        <w:t xml:space="preserve"> </w:t>
      </w:r>
      <w:r>
        <w:t xml:space="preserve">This is still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t xml:space="preserve">but there is an additional indicator that tells you the information is of a more sensitive nature,</w:t>
      </w:r>
      <w:r>
        <w:t xml:space="preserve"> </w:t>
      </w:r>
      <w:r>
        <w:t xml:space="preserve">and so should be handled and looked after accordingly.</w:t>
      </w:r>
    </w:p>
    <w:bookmarkStart w:id="22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 Classification Scheme</dc:title>
  <dc:creator/>
  <dc:language>en</dc:language>
  <cp:keywords/>
  <dcterms:created xsi:type="dcterms:W3CDTF">2021-01-28T14:33:41Z</dcterms:created>
  <dcterms:modified xsi:type="dcterms:W3CDTF">2021-01-28T14:33:41Z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