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IDENTIFY,</w:t>
      </w:r>
      <w:r>
        <w:t xml:space="preserve"> </w:t>
      </w:r>
      <w:r>
        <w:t xml:space="preserve">PROTECT,</w:t>
      </w:r>
      <w:r>
        <w:t xml:space="preserve"> </w:t>
      </w:r>
      <w:r>
        <w:t xml:space="preserve">DETECT,</w:t>
      </w:r>
      <w:r>
        <w:t xml:space="preserve"> </w:t>
      </w:r>
      <w:r>
        <w:t xml:space="preserve">RESPOND,</w:t>
      </w:r>
      <w:r>
        <w:t xml:space="preserve"> </w:t>
      </w:r>
      <w:r>
        <w:t xml:space="preserve">RECOVER</w:t>
      </w:r>
    </w:p>
    <w:bookmarkStart w:id="32" w:name="ariaid-title1"/>
    <w:p>
      <w:pPr>
        <w:pStyle w:val="Heading1"/>
      </w:pPr>
      <w:r>
        <w:t xml:space="preserve">IDENTIFY, PROTECT, DETECT, RESPOND, RECOVER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is required to adhere (but prefers to exceed) to the</w:t>
      </w:r>
      <w:r>
        <w:t xml:space="preserve"> </w:t>
      </w:r>
      <w:hyperlink r:id="rId20">
        <w:r>
          <w:rPr>
            <w:rStyle w:val="Hyperlink"/>
          </w:rPr>
          <w:t xml:space="preserve">Minimum Cyber Security Standard (MCSS)</w:t>
        </w:r>
      </w:hyperlink>
      <w:r>
        <w:t xml:space="preserve">.</w:t>
      </w:r>
    </w:p>
    <w:bookmarkStart w:id="29" w:name="ariaid-title2"/>
    <w:p>
      <w:pPr>
        <w:pStyle w:val="Heading2"/>
      </w:pPr>
      <w:r>
        <w:t xml:space="preserve">The Standard</w:t>
      </w:r>
    </w:p>
    <w:p>
      <w:pPr>
        <w:pStyle w:val="FirstParagraph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UK HMG Security Policy Framework</w:t>
        </w:r>
      </w:hyperlink>
      <w:r>
        <w:t xml:space="preserve"> </w:t>
      </w:r>
      <w:r>
        <w:t xml:space="preserve">mandates protective security outcomes that the</w:t>
      </w:r>
      <w:r>
        <w:t xml:space="preserve"> </w:t>
      </w:r>
      <w:r>
        <w:t xml:space="preserve">MoJ</w:t>
      </w:r>
      <w:r>
        <w:t xml:space="preserve"> </w:t>
      </w:r>
      <w:r>
        <w:t xml:space="preserve">must achieve (and suppliers to</w:t>
      </w:r>
      <w:r>
        <w:t xml:space="preserve"> </w:t>
      </w:r>
      <w:r>
        <w:t xml:space="preserve">MoJ</w:t>
      </w:r>
      <w:r>
        <w:t xml:space="preserve">, where they process</w:t>
      </w:r>
      <w:r>
        <w:t xml:space="preserve"> </w:t>
      </w:r>
      <w:r>
        <w:t xml:space="preserve">MoJ</w:t>
      </w:r>
      <w:r>
        <w:t xml:space="preserve"> </w:t>
      </w:r>
      <w:r>
        <w:t xml:space="preserve">data/information).</w:t>
      </w:r>
    </w:p>
    <w:p>
      <w:pPr>
        <w:pStyle w:val="BodyText"/>
      </w:pPr>
      <w:r>
        <w:t xml:space="preserve">More information is available from</w:t>
      </w:r>
      <w:r>
        <w:t xml:space="preserve"> </w:t>
      </w:r>
      <w:hyperlink r:id="rId22">
        <w:r>
          <w:rPr>
            <w:rStyle w:val="Hyperlink"/>
          </w:rPr>
          <w:t xml:space="preserve">https://www.gov.uk/government/publications/the-minimum-cyber-security-standard.</w:t>
        </w:r>
      </w:hyperlink>
    </w:p>
    <w:bookmarkStart w:id="23" w:name="ariaid-title3"/>
    <w:p>
      <w:pPr>
        <w:pStyle w:val="Heading3"/>
      </w:pPr>
      <w:r>
        <w:t xml:space="preserve">IDENTIFY</w:t>
      </w:r>
    </w:p>
    <w:p>
      <w:pPr>
        <w:pStyle w:val="FirstParagraph"/>
      </w:pPr>
      <w:r>
        <w:t xml:space="preserve">IDENTIFY is a prerequisite standard that requires:</w:t>
      </w:r>
    </w:p>
    <w:p>
      <w:pPr>
        <w:numPr>
          <w:ilvl w:val="0"/>
          <w:numId w:val="1001"/>
        </w:numPr>
      </w:pPr>
      <w:r>
        <w:t xml:space="preserve">appropriate information security governance processes;</w:t>
      </w:r>
    </w:p>
    <w:p>
      <w:pPr>
        <w:numPr>
          <w:ilvl w:val="0"/>
          <w:numId w:val="1001"/>
        </w:numPr>
      </w:pPr>
      <w:r>
        <w:t xml:space="preserve">identification and cataloging of information held/processed; and</w:t>
      </w:r>
    </w:p>
    <w:p>
      <w:pPr>
        <w:numPr>
          <w:ilvl w:val="0"/>
          <w:numId w:val="1001"/>
        </w:numPr>
      </w:pPr>
      <w:r>
        <w:t xml:space="preserve">identification and cataloging of key operational services provided.</w:t>
      </w:r>
    </w:p>
    <w:bookmarkEnd w:id="23"/>
    <w:bookmarkStart w:id="24" w:name="ariaid-title4"/>
    <w:p>
      <w:pPr>
        <w:pStyle w:val="Heading3"/>
      </w:pPr>
      <w:r>
        <w:t xml:space="preserve">PROTECT</w:t>
      </w:r>
    </w:p>
    <w:p>
      <w:pPr>
        <w:pStyle w:val="FirstParagraph"/>
      </w:pPr>
      <w:r>
        <w:t xml:space="preserve">PROTECT is the core standard to provide fundamentally defences to information and requires:</w:t>
      </w:r>
    </w:p>
    <w:p>
      <w:pPr>
        <w:numPr>
          <w:ilvl w:val="0"/>
          <w:numId w:val="1002"/>
        </w:numPr>
      </w:pPr>
      <w:r>
        <w:t xml:space="preserve">access to systems and information to be limited to identified, authenticated and authorised systems/users;</w:t>
      </w:r>
    </w:p>
    <w:p>
      <w:pPr>
        <w:numPr>
          <w:ilvl w:val="0"/>
          <w:numId w:val="1002"/>
        </w:numPr>
      </w:pPr>
      <w:r>
        <w:t xml:space="preserve">systems to be proportionally protected against exploitation of known vulnerabilities; and</w:t>
      </w:r>
    </w:p>
    <w:p>
      <w:pPr>
        <w:numPr>
          <w:ilvl w:val="0"/>
          <w:numId w:val="1002"/>
        </w:numPr>
      </w:pPr>
      <w:r>
        <w:t xml:space="preserve">highly privileged accounts (such as administrative level) to be protected from common attacks.</w:t>
      </w:r>
    </w:p>
    <w:bookmarkEnd w:id="24"/>
    <w:bookmarkStart w:id="26" w:name="ariaid-title5"/>
    <w:p>
      <w:pPr>
        <w:pStyle w:val="Heading3"/>
      </w:pPr>
      <w:r>
        <w:t xml:space="preserve">DETECT</w:t>
      </w:r>
    </w:p>
    <w:p>
      <w:pPr>
        <w:pStyle w:val="FirstParagraph"/>
      </w:pPr>
      <w:r>
        <w:t xml:space="preserve">DETECT is the core standard to detect when attacks are taking, or have taken, place and requires:</w:t>
      </w:r>
    </w:p>
    <w:p>
      <w:pPr>
        <w:numPr>
          <w:ilvl w:val="0"/>
          <w:numId w:val="1003"/>
        </w:numPr>
      </w:pPr>
      <w:r>
        <w:t xml:space="preserve">capture event information (and apply common threat intelligence sources, such as</w:t>
      </w:r>
      <w:r>
        <w:t xml:space="preserve"> </w:t>
      </w:r>
      <w:hyperlink r:id="rId25">
        <w:r>
          <w:rPr>
            <w:rStyle w:val="Hyperlink"/>
          </w:rPr>
          <w:t xml:space="preserve">CiSP</w:t>
        </w:r>
      </w:hyperlink>
      <w:r>
        <w:t xml:space="preserve">);</w:t>
      </w:r>
    </w:p>
    <w:p>
      <w:pPr>
        <w:numPr>
          <w:ilvl w:val="0"/>
          <w:numId w:val="1003"/>
        </w:numPr>
      </w:pPr>
      <w:r>
        <w:t xml:space="preserve">based on PROTECT, define and direct monitoring tactics to detect when defence measures seem to have failed;</w:t>
      </w:r>
    </w:p>
    <w:p>
      <w:pPr>
        <w:numPr>
          <w:ilvl w:val="0"/>
          <w:numId w:val="1003"/>
        </w:numPr>
      </w:pPr>
      <w:r>
        <w:t xml:space="preserve">detection of common attack techniques (such as commonly known applications or tooling); and</w:t>
      </w:r>
    </w:p>
    <w:p>
      <w:pPr>
        <w:numPr>
          <w:ilvl w:val="0"/>
          <w:numId w:val="1003"/>
        </w:numPr>
      </w:pPr>
      <w:r>
        <w:t xml:space="preserve">implementation of transaction monitoring solutions where systems could be vulnerable to fraud attempts.</w:t>
      </w:r>
    </w:p>
    <w:bookmarkEnd w:id="26"/>
    <w:bookmarkStart w:id="27" w:name="ariaid-title6"/>
    <w:p>
      <w:pPr>
        <w:pStyle w:val="Heading3"/>
      </w:pPr>
      <w:r>
        <w:t xml:space="preserve">RESPOND</w:t>
      </w:r>
    </w:p>
    <w:p>
      <w:pPr>
        <w:pStyle w:val="FirstParagraph"/>
      </w:pPr>
      <w:r>
        <w:t xml:space="preserve">RESPOND is the core standard to define the minimum of how organisations should respond to attacks and requires:</w:t>
      </w:r>
    </w:p>
    <w:p>
      <w:pPr>
        <w:numPr>
          <w:ilvl w:val="0"/>
          <w:numId w:val="1004"/>
        </w:numPr>
      </w:pPr>
      <w:r>
        <w:t xml:space="preserve">development and maintenance of an incident response &amp; management plan (including reporting, roles and responsibilities);</w:t>
      </w:r>
    </w:p>
    <w:p>
      <w:pPr>
        <w:numPr>
          <w:ilvl w:val="0"/>
          <w:numId w:val="1004"/>
        </w:numPr>
      </w:pPr>
      <w:r>
        <w:t xml:space="preserve">development and maintenance of communication plans, particularly to relevant supervisory bodies, law enforcement and responsible organisations such as the NCSC;</w:t>
      </w:r>
    </w:p>
    <w:p>
      <w:pPr>
        <w:numPr>
          <w:ilvl w:val="0"/>
          <w:numId w:val="1004"/>
        </w:numPr>
      </w:pPr>
      <w:r>
        <w:t xml:space="preserve">regular testing of the incident response &amp; management plan;</w:t>
      </w:r>
    </w:p>
    <w:p>
      <w:pPr>
        <w:numPr>
          <w:ilvl w:val="0"/>
          <w:numId w:val="1004"/>
        </w:numPr>
      </w:pPr>
      <w:r>
        <w:t xml:space="preserve">assessment and implementation of mitigating measures on discovery of an incident (successful attack); and</w:t>
      </w:r>
    </w:p>
    <w:p>
      <w:pPr>
        <w:numPr>
          <w:ilvl w:val="0"/>
          <w:numId w:val="1004"/>
        </w:numPr>
      </w:pPr>
      <w:r>
        <w:t xml:space="preserve">post-incident reviews to ensure feedback into the iteration of the incident response &amp; management plan.</w:t>
      </w:r>
    </w:p>
    <w:bookmarkEnd w:id="27"/>
    <w:bookmarkStart w:id="28" w:name="ariaid-title7"/>
    <w:p>
      <w:pPr>
        <w:pStyle w:val="Heading3"/>
      </w:pPr>
      <w:r>
        <w:t xml:space="preserve">RECOVER</w:t>
      </w:r>
    </w:p>
    <w:p>
      <w:pPr>
        <w:pStyle w:val="FirstParagraph"/>
      </w:pPr>
      <w:r>
        <w:t xml:space="preserve">RECOVER is the core standard to define the minimum of how organisations should recover from an attack once it has been considered closed, and requires:</w:t>
      </w:r>
    </w:p>
    <w:p>
      <w:pPr>
        <w:numPr>
          <w:ilvl w:val="0"/>
          <w:numId w:val="1005"/>
        </w:numPr>
      </w:pPr>
      <w:r>
        <w:t xml:space="preserve">identification and testing of contingency mechanisms to ensure the continuance of critical service delivery;</w:t>
      </w:r>
    </w:p>
    <w:p>
      <w:pPr>
        <w:numPr>
          <w:ilvl w:val="0"/>
          <w:numId w:val="1005"/>
        </w:numPr>
      </w:pPr>
      <w:r>
        <w:t xml:space="preserve">timely restoration of the service to normal operation (a plan to do so, and testing of that plan);</w:t>
      </w:r>
    </w:p>
    <w:p>
      <w:pPr>
        <w:numPr>
          <w:ilvl w:val="0"/>
          <w:numId w:val="1005"/>
        </w:numPr>
      </w:pPr>
      <w:r>
        <w:t xml:space="preserve">from DETECT &amp; RESPOND, immediately implementing controls to ensure the same issue cannot arise in the same way again, ensuring systematic vulnerabilities are proportional remediated.</w:t>
      </w:r>
    </w:p>
    <w:bookmarkEnd w:id="28"/>
    <w:bookmarkEnd w:id="29"/>
    <w:bookmarkStart w:id="31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0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Relationship Type="http://schemas.openxmlformats.org/officeDocument/2006/relationships/hyperlink" Id="rId30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Relationship Type="http://schemas.openxmlformats.org/officeDocument/2006/relationships/hyperlink" Id="rId3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IDENTIFY, PROTECT, DETECT, RESPOND, RECOVER</dc:title>
  <dc:creator/>
  <dc:language>en</dc:language>
  <cp:keywords/>
  <dcterms:created xsi:type="dcterms:W3CDTF">2021-01-28T14:33:42Z</dcterms:created>
  <dcterms:modified xsi:type="dcterms:W3CDTF">2021-01-28T14:33:42Z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