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2021-01-04T16:40:43Z</dcterms:created>
  <dcterms:modified xsi:type="dcterms:W3CDTF">2021-01-04T16:40:43Z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rights.owner">
    <vt:lpwstr>(C) Copyright 2021</vt:lpwstr>
  </property>
  <property fmtid="{D5CDD505-2E9C-101B-9397-08002B2CF9AE}" pid="4" name="DC.type">
    <vt:lpwstr>map</vt:lpwstr>
  </property>
  <property fmtid="{D5CDD505-2E9C-101B-9397-08002B2CF9AE}" pid="5" name="copyright">
    <vt:lpwstr>(C) Copyright 2021</vt:lpwstr>
  </property>
</Properties>
</file>