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Classification</w:t>
      </w:r>
      <w:r>
        <w:t xml:space="preserve"> </w:t>
      </w:r>
      <w:r>
        <w:t xml:space="preserve">and</w:t>
      </w:r>
      <w:r>
        <w:t xml:space="preserve"> </w:t>
      </w:r>
      <w:r>
        <w:t xml:space="preserve">Handling</w:t>
      </w:r>
      <w:r>
        <w:t xml:space="preserve"> </w:t>
      </w:r>
      <w:r>
        <w:t xml:space="preserve">Policy</w:t>
      </w:r>
    </w:p>
    <w:bookmarkStart w:id="36" w:name="ariaid-title1"/>
    <w:p>
      <w:pPr>
        <w:pStyle w:val="Heading1"/>
      </w:pPr>
      <w:r>
        <w:t xml:space="preserve">Information Classification and Handling Policy</w:t>
      </w:r>
    </w:p>
    <w:bookmarkStart w:id="20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document provides the core set of IT security principles and expectations on the handling and classification of information on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stores and processes a wide variety of information,</w:t>
      </w:r>
      <w:r>
        <w:t xml:space="preserve"> </w:t>
      </w:r>
      <w:r>
        <w:t xml:space="preserve">some of which attracts an HMG protective marking or contains personal information.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has a duty to protect all the information stored and processed on its IT systems.</w:t>
      </w:r>
    </w:p>
    <w:p>
      <w:pPr>
        <w:pStyle w:val="BodyText"/>
      </w:pPr>
      <w:r>
        <w:t xml:space="preserve">This policy outlines the Information Classification and Handling Policy for all information held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bookmarkEnd w:id="20"/>
    <w:bookmarkStart w:id="23" w:name="ariaid-title3"/>
    <w:p>
      <w:pPr>
        <w:pStyle w:val="Heading2"/>
      </w:pPr>
      <w:r>
        <w:t xml:space="preserve">Scope</w:t>
      </w:r>
    </w:p>
    <w:p>
      <w:pPr>
        <w:pStyle w:val="FirstParagraph"/>
      </w:pPr>
      <w:r>
        <w:t xml:space="preserve">This policy covers all staff (including contractors and agency staff) who use</w:t>
      </w:r>
      <w:r>
        <w:t xml:space="preserve"> </w:t>
      </w:r>
      <w:r>
        <w:t xml:space="preserve">MoJ</w:t>
      </w:r>
      <w:r>
        <w:t xml:space="preserve"> </w:t>
      </w:r>
      <w:r>
        <w:t xml:space="preserve">IT systems.</w:t>
      </w:r>
    </w:p>
    <w:p>
      <w:pPr>
        <w:pStyle w:val="BodyText"/>
      </w:pPr>
      <w:r>
        <w:t xml:space="preserve">The overarching policy on information classification and handling is</w:t>
      </w:r>
      <w:r>
        <w:t xml:space="preserve"> </w:t>
      </w:r>
      <w:r>
        <w:t xml:space="preserve">maintained by</w:t>
      </w:r>
      <w:r>
        <w:t xml:space="preserve"> </w:t>
      </w:r>
      <w:hyperlink r:id="rId21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Security</w:t>
        </w:r>
      </w:hyperlink>
      <w:r>
        <w:t xml:space="preserve">.</w:t>
      </w:r>
      <w:r>
        <w:t xml:space="preserve"> </w:t>
      </w:r>
      <w:r>
        <w:t xml:space="preserve">This document only contains IT specific policies which are in addition to the overarching policy.</w:t>
      </w:r>
    </w:p>
    <w:p>
      <w:pPr>
        <w:pStyle w:val="BodyText"/>
      </w:pPr>
      <w:r>
        <w:t xml:space="preserve">The overarching policy can be found</w:t>
      </w:r>
      <w:r>
        <w:t xml:space="preserve"> </w:t>
      </w:r>
      <w:hyperlink r:id="rId22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made aware of the Information Classification and Handling Policy,</w:t>
      </w:r>
      <w:r>
        <w:t xml:space="preserve"> </w:t>
      </w:r>
      <w:r>
        <w:t xml:space="preserve">and provided with security awareness training which covers this policy.</w:t>
      </w:r>
    </w:p>
    <w:p>
      <w:pPr>
        <w:pStyle w:val="BodyText"/>
      </w:pPr>
      <w:r>
        <w:t xml:space="preserve">All Users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provided with refresher security awareness training which covers this policy every 12 months.</w:t>
      </w:r>
    </w:p>
    <w:bookmarkEnd w:id="23"/>
    <w:bookmarkStart w:id="24" w:name="ariaid-title4"/>
    <w:p>
      <w:pPr>
        <w:pStyle w:val="Heading2"/>
      </w:pPr>
      <w:r>
        <w:t xml:space="preserve">Inventory of assets</w:t>
      </w:r>
    </w:p>
    <w:p>
      <w:pPr>
        <w:pStyle w:val="FirstParagraph"/>
      </w:pPr>
      <w:r>
        <w:t xml:space="preserve">All information assets need be identified and have a nominated asset owner,</w:t>
      </w:r>
      <w:r>
        <w:t xml:space="preserve"> </w:t>
      </w:r>
      <w:r>
        <w:t xml:space="preserve">to help ensure that the appropriate protection of these assets is maintained.</w:t>
      </w:r>
    </w:p>
    <w:p>
      <w:pPr>
        <w:pStyle w:val="BodyText"/>
      </w:pPr>
      <w:r>
        <w:t xml:space="preserve">Examples of what an information asset constitutes are:</w:t>
      </w:r>
    </w:p>
    <w:p>
      <w:pPr>
        <w:numPr>
          <w:ilvl w:val="0"/>
          <w:numId w:val="1001"/>
        </w:numPr>
        <w:pStyle w:val="Compact"/>
      </w:pPr>
      <w:r>
        <w:t xml:space="preserve">Databases and data files.</w:t>
      </w:r>
    </w:p>
    <w:p>
      <w:pPr>
        <w:numPr>
          <w:ilvl w:val="0"/>
          <w:numId w:val="1001"/>
        </w:numPr>
        <w:pStyle w:val="Compact"/>
      </w:pPr>
      <w:r>
        <w:t xml:space="preserve">System documentation.</w:t>
      </w:r>
    </w:p>
    <w:p>
      <w:pPr>
        <w:numPr>
          <w:ilvl w:val="0"/>
          <w:numId w:val="1001"/>
        </w:numPr>
        <w:pStyle w:val="Compact"/>
      </w:pPr>
      <w:r>
        <w:t xml:space="preserve">User manuals, training material, operational or support procedures.</w:t>
      </w:r>
    </w:p>
    <w:p>
      <w:pPr>
        <w:numPr>
          <w:ilvl w:val="0"/>
          <w:numId w:val="1001"/>
        </w:numPr>
        <w:pStyle w:val="Compact"/>
      </w:pPr>
      <w:r>
        <w:t xml:space="preserve">Security documentation such as RMADS or disaster recovery plans.</w:t>
      </w:r>
    </w:p>
    <w:p>
      <w:pPr>
        <w:numPr>
          <w:ilvl w:val="0"/>
          <w:numId w:val="1001"/>
        </w:numPr>
        <w:pStyle w:val="Compact"/>
      </w:pPr>
      <w:r>
        <w:t xml:space="preserve">Archived backup data.</w:t>
      </w:r>
    </w:p>
    <w:p>
      <w:pPr>
        <w:pStyle w:val="FirstParagraph"/>
      </w:pPr>
      <w:r>
        <w:t xml:space="preserve">The list of information assets and associated Information Assets Owners is coordinated and maintained by individual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groups,</w:t>
      </w:r>
      <w:r>
        <w:t xml:space="preserve"> </w:t>
      </w:r>
      <w:r>
        <w:t xml:space="preserve">where the responsibility resides with the business group SIRO.</w:t>
      </w:r>
    </w:p>
    <w:p>
      <w:pPr>
        <w:pStyle w:val="BodyText"/>
      </w:pPr>
      <w:r>
        <w:t xml:space="preserve">All</w:t>
      </w:r>
      <w:r>
        <w:t xml:space="preserve"> </w:t>
      </w:r>
      <w:r>
        <w:t xml:space="preserve">MoJ</w:t>
      </w:r>
      <w:r>
        <w:t xml:space="preserve"> </w:t>
      </w:r>
      <w:r>
        <w:t xml:space="preserve">business groups</w:t>
      </w:r>
      <w:r>
        <w:t xml:space="preserve"> </w:t>
      </w:r>
      <w:r>
        <w:rPr>
          <w:bCs/>
          <w:b/>
        </w:rPr>
        <w:t xml:space="preserve">must maintain</w:t>
      </w:r>
      <w:r>
        <w:t xml:space="preserve"> </w:t>
      </w:r>
      <w:r>
        <w:t xml:space="preserve">a list of information assets,</w:t>
      </w:r>
      <w:r>
        <w:t xml:space="preserve"> </w:t>
      </w:r>
      <w:r>
        <w:t xml:space="preserve">their associated named Information Asset Owner (IAO),</w:t>
      </w:r>
      <w:r>
        <w:t xml:space="preserve"> </w:t>
      </w:r>
      <w:r>
        <w:t xml:space="preserve">and which IT systems they reside on.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Some information assets might not be held on IT systems.</w:t>
      </w:r>
    </w:p>
    <w:bookmarkEnd w:id="24"/>
    <w:bookmarkStart w:id="28" w:name="ariaid-title5"/>
    <w:p>
      <w:pPr>
        <w:pStyle w:val="Heading2"/>
      </w:pPr>
      <w:r>
        <w:t xml:space="preserve">Deriving a classification</w:t>
      </w:r>
    </w:p>
    <w:p>
      <w:pPr>
        <w:pStyle w:val="FirstParagraph"/>
      </w:pPr>
      <w:r>
        <w:t xml:space="preserve">At the</w:t>
      </w:r>
      <w:r>
        <w:t xml:space="preserve"> </w:t>
      </w:r>
      <w:r>
        <w:t xml:space="preserve">MoJ</w:t>
      </w:r>
      <w:r>
        <w:t xml:space="preserve">,</w:t>
      </w:r>
      <w:r>
        <w:t xml:space="preserve"> </w:t>
      </w:r>
      <w:r>
        <w:t xml:space="preserve">all information assets are assessed against HMG guidance on business impact,</w:t>
      </w:r>
      <w:r>
        <w:t xml:space="preserve"> </w:t>
      </w:r>
      <w:r>
        <w:t xml:space="preserve">and HMG guidance on the protection of personal data.</w:t>
      </w:r>
      <w:r>
        <w:t xml:space="preserve"> </w:t>
      </w:r>
      <w:r>
        <w:t xml:space="preserve">This assessment is used to select the appropriate classification from</w:t>
      </w:r>
      <w:r>
        <w:t xml:space="preserve"> </w:t>
      </w: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Government Security Classification scheme</w:t>
        </w:r>
      </w:hyperlink>
      <w:r>
        <w:t xml:space="preserve">.</w:t>
      </w:r>
    </w:p>
    <w:p>
      <w:pPr>
        <w:pStyle w:val="BodyText"/>
      </w:pPr>
      <w:r>
        <w:t xml:space="preserve">All information assets stored or processed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assessed for a Business Impact Level,</w:t>
      </w:r>
      <w:r>
        <w:t xml:space="preserve"> </w:t>
      </w:r>
      <w:r>
        <w:t xml:space="preserve">where an impact level for the Confidentiality, Integrity and Availability for each asset is derived.</w:t>
      </w:r>
    </w:p>
    <w:p>
      <w:pPr>
        <w:pStyle w:val="BodyText"/>
      </w:pPr>
      <w:r>
        <w:t xml:space="preserve">All Users are responsible for applying the appropriate classification to information assets created or handled on an IT system,</w:t>
      </w:r>
      <w:r>
        <w:t xml:space="preserve"> </w:t>
      </w:r>
      <w:r>
        <w:t xml:space="preserve">where a pre-existing classification does not exist.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As outlined in</w:t>
      </w:r>
      <w:r>
        <w:t xml:space="preserve"> </w:t>
      </w:r>
      <w:hyperlink r:id="rId26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IT Security Policy</w:t>
        </w:r>
      </w:hyperlink>
      <w:r>
        <w:t xml:space="preserve">,</w:t>
      </w:r>
      <w:r>
        <w:t xml:space="preserve"> </w:t>
      </w:r>
      <w:r>
        <w:t xml:space="preserve">each IT system is required to have a Business Impact Assessment (BIA).</w:t>
      </w:r>
      <w:r>
        <w:t xml:space="preserve"> </w:t>
      </w:r>
      <w:r>
        <w:t xml:space="preserve">This BIA should be used to record the assessment rational and decision on the impact levels for Confidentiality, Integrity and Availability.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8"/>
    <w:bookmarkStart w:id="29" w:name="ariaid-title6"/>
    <w:p>
      <w:pPr>
        <w:pStyle w:val="Heading2"/>
      </w:pPr>
      <w:r>
        <w:t xml:space="preserve">Application of Government classification</w:t>
      </w:r>
    </w:p>
    <w:p>
      <w:pPr>
        <w:pStyle w:val="FirstParagraph"/>
      </w:pPr>
      <w:r>
        <w:t xml:space="preserve">The Government classification scheme defines how information should be labelled and handled.</w:t>
      </w:r>
      <w:r>
        <w:t xml:space="preserve"> </w:t>
      </w:r>
      <w:r>
        <w:t xml:space="preserve">Output from IT systems containing information that is classified must carry classification labels where it is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or higher.</w:t>
      </w:r>
      <w:r>
        <w:t xml:space="preserve"> </w:t>
      </w:r>
      <w:r>
        <w:t xml:space="preserve">This includes, but is not limited to, printed reports, removable media, electronic messages (such as e-mail) and file transfers.</w:t>
      </w:r>
    </w:p>
    <w:p>
      <w:pPr>
        <w:pStyle w:val="BodyText"/>
      </w:pPr>
      <w:r>
        <w:t xml:space="preserve">All IT hardware and removable media assets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labelled with the highest classification</w:t>
      </w:r>
      <w:r>
        <w:t xml:space="preserve"> </w:t>
      </w:r>
      <w:r>
        <w:t xml:space="preserve">from among each of the individual information assets stored or processed on it.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This classification might be reduced if sufficient security controls are applied, for example whole disk encryption, and if there is agreement with the system assurer or</w:t>
      </w:r>
      <w:r>
        <w:t xml:space="preserve"> </w:t>
      </w:r>
      <w:r>
        <w:t xml:space="preserve">Chief Information Security Office (CISO)</w:t>
      </w:r>
      <w:r>
        <w:t xml:space="preserve">.</w:t>
      </w:r>
    </w:p>
    <w:p>
      <w:pPr>
        <w:pStyle w:val="BodyText"/>
      </w:pPr>
      <w:r>
        <w:t xml:space="preserve">All output from an IT system</w:t>
      </w:r>
      <w:r>
        <w:t xml:space="preserve"> </w:t>
      </w:r>
      <w:r>
        <w:rPr>
          <w:bCs/>
          <w:b/>
        </w:rPr>
        <w:t xml:space="preserve">must</w:t>
      </w:r>
      <w:r>
        <w:t xml:space="preserve"> </w:t>
      </w:r>
      <w:r>
        <w:t xml:space="preserve">be given the classification of the highest of each of the individual information assets contained within that output.</w:t>
      </w:r>
    </w:p>
    <w:p>
      <w:pPr>
        <w:pStyle w:val="BodyText"/>
      </w:pPr>
      <w:r>
        <w:t xml:space="preserve">Where applying a classification label is not feasible, an alternative method</w:t>
      </w:r>
      <w:r>
        <w:t xml:space="preserve"> </w:t>
      </w:r>
      <w:r>
        <w:rPr>
          <w:bCs/>
          <w:b/>
        </w:rPr>
        <w:t xml:space="preserve">must be</w:t>
      </w:r>
      <w:r>
        <w:t xml:space="preserve"> </w:t>
      </w:r>
      <w:r>
        <w:t xml:space="preserve">agreed with the system assurer or</w:t>
      </w:r>
      <w:r>
        <w:t xml:space="preserve"> </w:t>
      </w:r>
      <w:r>
        <w:t xml:space="preserve">CISO</w:t>
      </w:r>
      <w:r>
        <w:t xml:space="preserve">.</w:t>
      </w:r>
    </w:p>
    <w:p>
      <w:pPr>
        <w:pStyle w:val="BodyText"/>
      </w:pPr>
      <w:r>
        <w:t xml:space="preserve">Further information on the criteria and derivation for classification can be found at:</w:t>
      </w:r>
      <w:r>
        <w:t xml:space="preserve"> </w:t>
      </w:r>
      <w:hyperlink r:id="rId27">
        <w:r>
          <w:rPr>
            <w:rStyle w:val="Hyperlink"/>
          </w:rPr>
          <w:t xml:space="preserve">https://intranet.justice.gov.uk/guidance/knowledge-information/protecting-information/classifying-information/</w:t>
        </w:r>
      </w:hyperlink>
      <w:r>
        <w:t xml:space="preserve">.</w:t>
      </w:r>
    </w:p>
    <w:bookmarkEnd w:id="29"/>
    <w:bookmarkStart w:id="30" w:name="ariaid-title7"/>
    <w:p>
      <w:pPr>
        <w:pStyle w:val="Heading2"/>
      </w:pPr>
      <w:r>
        <w:t xml:space="preserve">Information handling on</w:t>
      </w:r>
      <w:r>
        <w:t xml:space="preserve"> </w:t>
      </w:r>
      <w:r>
        <w:t xml:space="preserve">MoJ</w:t>
      </w:r>
      <w:r>
        <w:t xml:space="preserve"> </w:t>
      </w:r>
      <w:r>
        <w:t xml:space="preserve">IT systems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policy for handling classified material</w:t>
      </w:r>
      <w:r>
        <w:t xml:space="preserve"> </w:t>
      </w:r>
      <w:r>
        <w:t xml:space="preserve">applies to all</w:t>
      </w:r>
      <w:r>
        <w:t xml:space="preserve"> </w:t>
      </w:r>
      <w:r>
        <w:t xml:space="preserve">MoJ</w:t>
      </w:r>
      <w:r>
        <w:t xml:space="preserve"> </w:t>
      </w:r>
      <w:r>
        <w:t xml:space="preserve">IT assets and all outputs from an IT system.</w:t>
      </w:r>
    </w:p>
    <w:bookmarkEnd w:id="30"/>
    <w:bookmarkStart w:id="33" w:name="ariaid-title8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1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32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3"/>
    <w:bookmarkStart w:id="35" w:name="ariaid-title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overnment-classification-scheme.html" TargetMode="External" /><Relationship Type="http://schemas.openxmlformats.org/officeDocument/2006/relationships/hyperlink" Id="rId27" Target="https://intranet.justice.gov.uk/guidance/knowledge-information/protecting-information/classifying-information/" TargetMode="External" /><Relationship Type="http://schemas.openxmlformats.org/officeDocument/2006/relationships/hyperlink" Id="rId21" Target="https://intranet.justice.gov.uk/guidance/security/" TargetMode="External" /><Relationship Type="http://schemas.openxmlformats.org/officeDocument/2006/relationships/hyperlink" Id="rId26" Target="https://intranet.justice.gov.uk/guidance/security/it-computer-security/ict-security-policy-framework/ict-security-policy/" TargetMode="External" /><Relationship Type="http://schemas.openxmlformats.org/officeDocument/2006/relationships/hyperlink" Id="rId25" Target="https://www.gov.uk/government/publications/government-security-classifications" TargetMode="External" /><Relationship Type="http://schemas.openxmlformats.org/officeDocument/2006/relationships/hyperlink" Id="rId32" Target="mailto:CyberConsultancy@digital.justice.gov.uk" TargetMode="External" /><Relationship Type="http://schemas.openxmlformats.org/officeDocument/2006/relationships/hyperlink" Id="rId34" Target="mailto:itpolicycontent@digital.justice.gov.uk" TargetMode="External" /><Relationship Type="http://schemas.openxmlformats.org/officeDocument/2006/relationships/hyperlink" Id="rId31" Target="mailto:security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Classification and Handling Policy</dc:title>
  <dc:creator/>
  <dc:language>en</dc:language>
  <cp:keywords/>
  <dcterms:created xsi:type="dcterms:W3CDTF">2021-01-28T14:33:43Z</dcterms:created>
  <dcterms:modified xsi:type="dcterms:W3CDTF">2021-01-28T14:33:43Z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