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Personnel</w:t>
      </w:r>
      <w:r>
        <w:t xml:space="preserve"> </w:t>
      </w:r>
      <w:r>
        <w:t xml:space="preserve">security</w:t>
      </w:r>
      <w:r>
        <w:t xml:space="preserve"> </w:t>
      </w:r>
      <w:r>
        <w:t xml:space="preserve">clearances</w:t>
      </w:r>
    </w:p>
    <w:bookmarkStart w:id="26" w:name="ariaid-title1"/>
    <w:p>
      <w:pPr>
        <w:pStyle w:val="Heading1"/>
      </w:pPr>
      <w:r>
        <w:t xml:space="preserve">Personnel security clearances</w:t>
      </w:r>
    </w:p>
    <w:bookmarkStart w:id="21" w:name="ariaid-title2"/>
    <w:p>
      <w:pPr>
        <w:pStyle w:val="Heading2"/>
      </w:pPr>
      <w:r>
        <w:t xml:space="preserve">Baseline Personnel Security Standard (BPSS)</w:t>
      </w:r>
    </w:p>
    <w:p>
      <w:pPr>
        <w:pStyle w:val="FirstParagraph"/>
      </w:pPr>
      <w:r>
        <w:t xml:space="preserve">Unless otherwise agreed formally by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in writing, any person (whether</w:t>
      </w:r>
      <w:r>
        <w:t xml:space="preserve"> </w:t>
      </w:r>
      <w:r>
        <w:t xml:space="preserve">MoJ</w:t>
      </w:r>
      <w:r>
        <w:t xml:space="preserve"> </w:t>
      </w:r>
      <w:r>
        <w:t xml:space="preserve">staff, contractor or through supply chain) who has access to, or direct control over,</w:t>
      </w:r>
      <w:r>
        <w:t xml:space="preserve"> </w:t>
      </w:r>
      <w:r>
        <w:t xml:space="preserve">MoJ</w:t>
      </w:r>
      <w:r>
        <w:t xml:space="preserve"> </w:t>
      </w:r>
      <w:r>
        <w:t xml:space="preserve">data must have satisfactorily completed the baseline.</w:t>
      </w:r>
    </w:p>
    <w:p>
      <w:pPr>
        <w:pStyle w:val="BodyText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BPSS is published on GOV.UK</w:t>
        </w:r>
      </w:hyperlink>
      <w:r>
        <w:t xml:space="preserve">.</w:t>
      </w:r>
    </w:p>
    <w:bookmarkEnd w:id="21"/>
    <w:bookmarkStart w:id="23" w:name="ariaid-title3"/>
    <w:p>
      <w:pPr>
        <w:pStyle w:val="Heading2"/>
      </w:pPr>
      <w:r>
        <w:t xml:space="preserve">National Security Clearances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will advise on a case-by-case basis if an individual requires a</w:t>
      </w:r>
      <w:r>
        <w:t xml:space="preserve"> </w:t>
      </w:r>
      <w:hyperlink r:id="rId22">
        <w:r>
          <w:rPr>
            <w:rStyle w:val="Hyperlink"/>
          </w:rPr>
          <w:t xml:space="preserve">national security vetting and clearance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does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have a standing requirement for system administrators or application developers to maintain Security Check (SC).</w:t>
      </w:r>
    </w:p>
    <w:bookmarkEnd w:id="23"/>
    <w:bookmarkStart w:id="25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Relationship Type="http://schemas.openxmlformats.org/officeDocument/2006/relationships/hyperlink" Id="rId24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Relationship Type="http://schemas.openxmlformats.org/officeDocument/2006/relationships/hyperlink" Id="rId24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Personnel security clearances</dc:title>
  <dc:creator/>
  <dc:language>en</dc:language>
  <cp:keywords/>
  <dcterms:created xsi:type="dcterms:W3CDTF">2021-02-04T10:29:16Z</dcterms:created>
  <dcterms:modified xsi:type="dcterms:W3CDTF">2021-02-04T10:29:16Z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