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32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(USB), Memory cards, and Solid State Drives (SSD)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1" w:name="ariaid-title2"/>
    <w:p>
      <w:pPr>
        <w:pStyle w:val="Heading2"/>
      </w:pPr>
      <w:r>
        <w:t xml:space="preserve">Reusing equipment</w:t>
      </w:r>
    </w:p>
    <w:p>
      <w:pPr>
        <w:pStyle w:val="FirstParagraph"/>
      </w:pPr>
      <w:r>
        <w:t xml:space="preserve">When a project completes, or a colleague leaves or moves to a new role, equipment might become available.</w:t>
      </w:r>
      <w:r>
        <w:t xml:space="preserve"> </w:t>
      </w:r>
      <w:r>
        <w:t xml:space="preserve">In many cases, it might be more cost-effective to consider reusing or reassigning this equipment, rather than disposing of it.</w:t>
      </w:r>
    </w:p>
    <w:p>
      <w:pPr>
        <w:pStyle w:val="BodyText"/>
      </w:pPr>
      <w:r>
        <w:t xml:space="preserve">Any equipment must be completely 'cleaned' to an 'as-new' state before it is reused or reassigned.</w:t>
      </w:r>
      <w:r>
        <w:t xml:space="preserve"> </w:t>
      </w:r>
      <w:r>
        <w:t xml:space="preserve">This means that all storage media in the device must be fully erased.</w:t>
      </w:r>
    </w:p>
    <w:bookmarkEnd w:id="21"/>
    <w:bookmarkStart w:id="23" w:name="ariaid-title3"/>
    <w:p>
      <w:pPr>
        <w:pStyle w:val="Heading2"/>
      </w:pPr>
      <w:r>
        <w:t xml:space="preserve">NCSC Guidance</w:t>
      </w:r>
    </w:p>
    <w:p>
      <w:pPr>
        <w:pStyle w:val="FirstParagraph"/>
      </w:pPr>
      <w:r>
        <w:t xml:space="preserve">The NCSC provides useful guidance on secure disposal of electronic media,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4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5">
        <w:r>
          <w:rPr>
            <w:rStyle w:val="Hyperlink"/>
          </w:rPr>
          <w:t xml:space="preserve">info@dataeliminate.com</w:t>
        </w:r>
      </w:hyperlink>
    </w:p>
    <w:bookmarkEnd w:id="26"/>
    <w:bookmarkStart w:id="29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7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8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9"/>
    <w:bookmarkStart w:id="31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ncsc.gov.uk/guidance/secure-sanitisation-storage-media" TargetMode="External" /><Relationship Type="http://schemas.openxmlformats.org/officeDocument/2006/relationships/hyperlink" Id="rId28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4" Target="mailto:g-cloud@tyr-security.co.uk" TargetMode="External" /><Relationship Type="http://schemas.openxmlformats.org/officeDocument/2006/relationships/hyperlink" Id="rId25" Target="mailto:info@dataeliminate.com" TargetMode="External" /><Relationship Type="http://schemas.openxmlformats.org/officeDocument/2006/relationships/hyperlink" Id="rId30" Target="mailto:itpolicycontent@digital.justice.gov.uk" TargetMode="External" /><Relationship Type="http://schemas.openxmlformats.org/officeDocument/2006/relationships/hyperlink" Id="rId27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csc.gov.uk/guidance/secure-sanitisation-storage-media" TargetMode="External" /><Relationship Type="http://schemas.openxmlformats.org/officeDocument/2006/relationships/hyperlink" Id="rId28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4" Target="mailto:g-cloud@tyr-security.co.uk" TargetMode="External" /><Relationship Type="http://schemas.openxmlformats.org/officeDocument/2006/relationships/hyperlink" Id="rId25" Target="mailto:info@dataeliminate.com" TargetMode="External" /><Relationship Type="http://schemas.openxmlformats.org/officeDocument/2006/relationships/hyperlink" Id="rId30" Target="mailto:itpolicycontent@digital.justice.gov.uk" TargetMode="External" /><Relationship Type="http://schemas.openxmlformats.org/officeDocument/2006/relationships/hyperlink" Id="rId27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2021-01-11T14:52:15Z</dcterms:created>
  <dcterms:modified xsi:type="dcterms:W3CDTF">2021-01-11T14:52:15Z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