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sdt>
      <w:sdtPr>
        <w:rPr>
          <w:b/>
          <w:sz w:val="36"/>
        </w:rPr>
        <w:alias w:val="Título"/>
        <w:id w:val="323086389"/>
        <w:placeholder>
          <w:docPart w:val="F88F7CD6BC044BAF93C0151798BD6233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b/>
          <w:sz w:val="36"/>
        </w:rPr>
      </w:sdtEndPr>
      <w:sdtContent>
        <w:p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>
      <w:pPr>
        <w:spacing w:before="120" w:after="12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Versão 1.0</w:t>
      </w:r>
    </w:p>
    <w:p>
      <w:r>
        <w:br w:type="page"/>
      </w:r>
    </w:p>
    <w:p>
      <w:pPr>
        <w:pStyle w:val="16"/>
        <w:jc w:val="center"/>
      </w:pPr>
      <w:r>
        <w:t>SUMÁRIO</w:t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\l _Toc17102 </w:instrText>
      </w:r>
      <w:r>
        <w:rPr>
          <w:rFonts w:cs="Arial"/>
        </w:rPr>
        <w:fldChar w:fldCharType="separate"/>
      </w:r>
      <w:r>
        <w:rPr>
          <w:rFonts w:hint="default"/>
          <w:bCs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_Toc17102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</w:rP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_Toc13904 </w:instrText>
      </w:r>
      <w:r>
        <w:fldChar w:fldCharType="separate"/>
      </w:r>
      <w:r>
        <w:rPr>
          <w:rFonts w:hint="default"/>
        </w:rPr>
        <w:t xml:space="preserve">1.1. </w:t>
      </w:r>
      <w:r>
        <w:t>Referências</w:t>
      </w:r>
      <w:r>
        <w:tab/>
      </w:r>
      <w:r>
        <w:fldChar w:fldCharType="begin"/>
      </w:r>
      <w:r>
        <w:instrText xml:space="preserve"> PAGEREF _Toc13904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_Toc15143 </w:instrText>
      </w:r>
      <w:r>
        <w:fldChar w:fldCharType="separate"/>
      </w:r>
      <w:r>
        <w:rPr>
          <w:rFonts w:hint="default" w:ascii="Arial" w:hAnsi="Arial" w:cs="Arial"/>
          <w:bCs/>
          <w:lang w:val="pt-BR"/>
        </w:rPr>
        <w:t xml:space="preserve">2. </w:t>
      </w:r>
      <w:r>
        <w:t>Organização e Estilo do Código</w:t>
      </w:r>
      <w:r>
        <w:rPr>
          <w:rFonts w:hint="default"/>
          <w:lang w:val="pt-BR"/>
        </w:rPr>
        <w:t xml:space="preserve"> C#</w:t>
      </w:r>
      <w:r>
        <w:tab/>
      </w:r>
      <w:r>
        <w:fldChar w:fldCharType="begin"/>
      </w:r>
      <w:r>
        <w:instrText xml:space="preserve"> PAGEREF _Toc15143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_Toc3002 </w:instrText>
      </w:r>
      <w:r>
        <w:fldChar w:fldCharType="separate"/>
      </w:r>
      <w:r>
        <w:rPr>
          <w:rFonts w:hint="default"/>
        </w:rPr>
        <w:t xml:space="preserve">2.1. </w:t>
      </w:r>
      <w:r>
        <w:t>Comentários</w:t>
      </w:r>
      <w:r>
        <w:rPr>
          <w:rFonts w:hint="default"/>
          <w:lang w:val="pt-BR"/>
        </w:rPr>
        <w:t xml:space="preserve"> em C#</w:t>
      </w:r>
      <w:r>
        <w:tab/>
      </w:r>
      <w:r>
        <w:fldChar w:fldCharType="begin"/>
      </w:r>
      <w:r>
        <w:instrText xml:space="preserve"> PAGEREF _Toc3002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_Toc17707 </w:instrText>
      </w:r>
      <w: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lang w:val="en-US" w:eastAsia="pt-BR" w:bidi="ar-SA"/>
        </w:rPr>
        <w:t xml:space="preserve">2.2. </w:t>
      </w:r>
      <w:r>
        <w:t>Nomeação</w:t>
      </w:r>
      <w:r>
        <w:tab/>
      </w:r>
      <w:r>
        <w:fldChar w:fldCharType="begin"/>
      </w:r>
      <w:r>
        <w:instrText xml:space="preserve"> PAGEREF _Toc17707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_Toc32267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2.2.1. Nomeação de </w:t>
      </w:r>
      <w:r>
        <w:rPr>
          <w:rFonts w:hint="default" w:cs="Times New Roman"/>
          <w:lang w:val="en-US" w:eastAsia="pt-BR" w:bidi="ar-SA"/>
        </w:rPr>
        <w:t>projetos</w:t>
      </w:r>
      <w:r>
        <w:tab/>
      </w:r>
      <w:r>
        <w:fldChar w:fldCharType="begin"/>
      </w:r>
      <w:r>
        <w:instrText xml:space="preserve"> PAGEREF _Toc32267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_Toc12229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2.2.2. Nomeação de </w:t>
      </w:r>
      <w:r>
        <w:rPr>
          <w:rFonts w:hint="default" w:cs="Times New Roman"/>
          <w:lang w:val="en-US" w:eastAsia="pt-BR" w:bidi="ar-SA"/>
        </w:rPr>
        <w:t>enumeradores</w:t>
      </w:r>
      <w:r>
        <w:tab/>
      </w:r>
      <w:r>
        <w:fldChar w:fldCharType="begin"/>
      </w:r>
      <w:r>
        <w:instrText xml:space="preserve"> PAGEREF _Toc12229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_Toc8635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>2.2.3. Nomeação de interfaces de serviço</w:t>
      </w:r>
      <w:r>
        <w:tab/>
      </w:r>
      <w:r>
        <w:fldChar w:fldCharType="begin"/>
      </w:r>
      <w:r>
        <w:instrText xml:space="preserve"> PAGEREF _Toc8635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_Toc8667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2.2.4. Nomeação de interfaces de </w:t>
      </w:r>
      <w:r>
        <w:rPr>
          <w:rFonts w:hint="default" w:cs="Times New Roman"/>
          <w:lang w:val="en-US" w:eastAsia="pt-BR" w:bidi="ar-SA"/>
        </w:rPr>
        <w:t>repositório</w:t>
      </w:r>
      <w:r>
        <w:tab/>
      </w:r>
      <w:r>
        <w:fldChar w:fldCharType="begin"/>
      </w:r>
      <w:r>
        <w:instrText xml:space="preserve"> PAGEREF _Toc8667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_Toc7455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2.2.5. Nomeação de </w:t>
      </w:r>
      <w:r>
        <w:rPr>
          <w:rFonts w:hint="default" w:cs="Times New Roman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de </w:t>
      </w:r>
      <w:r>
        <w:rPr>
          <w:rFonts w:hint="default" w:cs="Times New Roman"/>
          <w:lang w:val="en-US" w:eastAsia="pt-BR" w:bidi="ar-SA"/>
        </w:rPr>
        <w:t>serviço</w:t>
      </w:r>
      <w:r>
        <w:tab/>
      </w:r>
      <w:r>
        <w:fldChar w:fldCharType="begin"/>
      </w:r>
      <w:r>
        <w:instrText xml:space="preserve"> PAGEREF _Toc7455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_Toc32596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2.2.6. Nomeação de </w:t>
      </w:r>
      <w:r>
        <w:rPr>
          <w:rFonts w:hint="default" w:cs="Times New Roman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de </w:t>
      </w:r>
      <w:r>
        <w:rPr>
          <w:rFonts w:hint="default" w:cs="Times New Roman"/>
          <w:lang w:val="en-US" w:eastAsia="pt-BR" w:bidi="ar-SA"/>
        </w:rPr>
        <w:t>repositório</w:t>
      </w:r>
      <w:r>
        <w:tab/>
      </w:r>
      <w:r>
        <w:fldChar w:fldCharType="begin"/>
      </w:r>
      <w:r>
        <w:instrText xml:space="preserve"> PAGEREF _Toc32596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_Toc18403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2.2.7. Nomeação </w:t>
      </w:r>
      <w:r>
        <w:rPr>
          <w:rFonts w:hint="default" w:cs="Times New Roman"/>
          <w:lang w:val="en-US" w:eastAsia="pt-BR" w:bidi="ar-SA"/>
        </w:rPr>
        <w:t>classes de validação</w:t>
      </w:r>
      <w:r>
        <w:tab/>
      </w:r>
      <w:r>
        <w:fldChar w:fldCharType="begin"/>
      </w:r>
      <w:r>
        <w:instrText xml:space="preserve"> PAGEREF _Toc18403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_Toc7969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2.2.8. Nomeação </w:t>
      </w:r>
      <w:r>
        <w:rPr>
          <w:rFonts w:hint="default" w:cs="Times New Roman"/>
          <w:lang w:val="en-US" w:eastAsia="pt-BR" w:bidi="ar-SA"/>
        </w:rPr>
        <w:t>classes de conversores</w:t>
      </w:r>
      <w:r>
        <w:tab/>
      </w:r>
      <w:r>
        <w:fldChar w:fldCharType="begin"/>
      </w:r>
      <w:r>
        <w:instrText xml:space="preserve"> PAGEREF _Toc7969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_Toc19290 </w:instrText>
      </w:r>
      <w:r>
        <w:fldChar w:fldCharType="separate"/>
      </w:r>
      <w:r>
        <w:rPr>
          <w:rFonts w:hint="default"/>
          <w:bCs/>
          <w:lang w:val="pt-PT"/>
        </w:rPr>
        <w:t xml:space="preserve">3. </w:t>
      </w:r>
      <w:r>
        <w:rPr>
          <w:lang w:val="pt-PT"/>
        </w:rPr>
        <w:t>Tratamento de Erros e de Exceções</w:t>
      </w:r>
      <w:r>
        <w:tab/>
      </w:r>
      <w:r>
        <w:fldChar w:fldCharType="begin"/>
      </w:r>
      <w:r>
        <w:instrText xml:space="preserve"> PAGEREF _Toc19290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_Toc8899 </w:instrText>
      </w:r>
      <w:r>
        <w:fldChar w:fldCharType="separate"/>
      </w:r>
      <w:r>
        <w:rPr>
          <w:rFonts w:hint="default"/>
          <w:bCs/>
          <w:lang w:val="pt-PT"/>
        </w:rPr>
        <w:t xml:space="preserve">4. </w:t>
      </w:r>
      <w:r>
        <w:rPr>
          <w:lang w:val="pt-PT"/>
        </w:rPr>
        <w:t>teste unitário</w:t>
      </w:r>
      <w:r>
        <w:tab/>
      </w:r>
      <w:r>
        <w:fldChar w:fldCharType="begin"/>
      </w:r>
      <w:r>
        <w:instrText xml:space="preserve"> PAGEREF _Toc8899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_Toc29307 </w:instrText>
      </w:r>
      <w:r>
        <w:fldChar w:fldCharType="separate"/>
      </w:r>
      <w:r>
        <w:rPr>
          <w:rFonts w:hint="default"/>
          <w:bCs/>
          <w:lang w:val="pt-PT"/>
        </w:rPr>
        <w:t xml:space="preserve">5. </w:t>
      </w:r>
      <w:r>
        <w:rPr>
          <w:lang w:val="pt-PT"/>
        </w:rPr>
        <w:t>Diretrizes Gerais</w:t>
      </w:r>
      <w:r>
        <w:tab/>
      </w:r>
      <w:r>
        <w:fldChar w:fldCharType="begin"/>
      </w:r>
      <w:r>
        <w:instrText xml:space="preserve"> PAGEREF _Toc29307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r>
        <w:br w:type="page"/>
      </w:r>
      <w:bookmarkStart w:id="0" w:name="_Toc105989053"/>
      <w:bookmarkStart w:id="1" w:name="_Toc104341857"/>
      <w:bookmarkStart w:id="2" w:name="_Toc17102"/>
      <w:r>
        <w:t>Introdução</w:t>
      </w:r>
      <w:bookmarkEnd w:id="0"/>
      <w:bookmarkEnd w:id="1"/>
      <w:bookmarkEnd w:id="2"/>
    </w:p>
    <w:p>
      <w:pPr>
        <w:pStyle w:val="23"/>
        <w:ind w:firstLine="708" w:firstLineChars="0"/>
        <w:jc w:val="both"/>
        <w:rPr>
          <w:rFonts w:ascii="Arial" w:hAnsi="Arial" w:cs="Arial"/>
          <w:lang w:val="pt-PT"/>
        </w:rPr>
      </w:pPr>
      <w:r>
        <w:rPr>
          <w:rFonts w:hint="default" w:ascii="Arial" w:hAnsi="Arial" w:cs="Arial"/>
          <w:i w:val="0"/>
          <w:iCs w:val="0"/>
          <w:color w:val="auto"/>
          <w:lang w:val="pt-BR"/>
        </w:rPr>
        <w:t>Este documento têm como finalidade servir como referência para boas práticas de escrita de código, deve ser muito bem conhecido pelos desenvolvedores e servir como parte indispensável nas tarefas de revisão de código.</w:t>
      </w:r>
    </w:p>
    <w:p>
      <w:pPr>
        <w:pStyle w:val="3"/>
        <w:bidi w:val="0"/>
        <w:ind w:left="0" w:leftChars="0"/>
      </w:pPr>
      <w:bookmarkStart w:id="3" w:name="_Toc105989057"/>
      <w:bookmarkStart w:id="4" w:name="_Toc104341861"/>
      <w:bookmarkStart w:id="5" w:name="_Toc13904"/>
      <w:r>
        <w:t>Referências</w:t>
      </w:r>
      <w:bookmarkEnd w:id="3"/>
      <w:bookmarkEnd w:id="4"/>
      <w:bookmarkEnd w:id="5"/>
    </w:p>
    <w:p>
      <w:pPr>
        <w:pStyle w:val="23"/>
        <w:numPr>
          <w:ilvl w:val="0"/>
          <w:numId w:val="4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/>
          <w:i w:val="0"/>
          <w:iCs w:val="0"/>
          <w:color w:val="auto"/>
        </w:rPr>
        <w:fldChar w:fldCharType="begin"/>
      </w:r>
      <w:r>
        <w:rPr>
          <w:rFonts w:hint="default" w:ascii="Arial" w:hAnsi="Arial"/>
          <w:i w:val="0"/>
          <w:iCs w:val="0"/>
          <w:color w:val="auto"/>
        </w:rPr>
        <w:instrText xml:space="preserve"> HYPERLINK "https://docs.microsoft.com/pt-br/dotnet/csharp/fundamentals/coding-style/coding-conventions" </w:instrText>
      </w:r>
      <w:r>
        <w:rPr>
          <w:rFonts w:hint="default" w:ascii="Arial" w:hAnsi="Arial"/>
          <w:i w:val="0"/>
          <w:iCs w:val="0"/>
          <w:color w:val="auto"/>
        </w:rPr>
        <w:fldChar w:fldCharType="separate"/>
      </w:r>
      <w:r>
        <w:rPr>
          <w:rStyle w:val="13"/>
          <w:rFonts w:hint="default" w:ascii="Arial" w:hAnsi="Arial"/>
          <w:i w:val="0"/>
          <w:iCs w:val="0"/>
        </w:rPr>
        <w:t>Convenções de codificação em C#</w:t>
      </w:r>
      <w:r>
        <w:rPr>
          <w:rFonts w:hint="default" w:ascii="Arial" w:hAnsi="Arial"/>
          <w:i w:val="0"/>
          <w:iCs w:val="0"/>
          <w:color w:val="auto"/>
        </w:rPr>
        <w:fldChar w:fldCharType="end"/>
      </w:r>
    </w:p>
    <w:p>
      <w:pPr>
        <w:pStyle w:val="23"/>
        <w:numPr>
          <w:ilvl w:val="0"/>
          <w:numId w:val="4"/>
        </w:numPr>
        <w:jc w:val="both"/>
        <w:rPr>
          <w:rStyle w:val="13"/>
          <w:rFonts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lang w:val="pt-BR" w:eastAsia="pt-BR" w:bidi="ar-SA"/>
        </w:rPr>
      </w:pPr>
      <w:r>
        <w:rPr>
          <w:rStyle w:val="13"/>
          <w:rFonts w:hint="default" w:ascii="Arial" w:hAnsi="Arial" w:eastAsia="SimSun"/>
          <w:i w:val="0"/>
          <w:iCs w:val="0"/>
        </w:rPr>
        <w:fldChar w:fldCharType="begin"/>
      </w:r>
      <w:r>
        <w:rPr>
          <w:rStyle w:val="13"/>
          <w:rFonts w:hint="default" w:ascii="Arial" w:hAnsi="Arial" w:eastAsia="SimSun"/>
          <w:i w:val="0"/>
          <w:iCs w:val="0"/>
        </w:rPr>
        <w:instrText xml:space="preserve"> HYPERLINK "https://angular.io/guide/styleguide" \l "angular-coding-style-guide" \o "Link to this heading" </w:instrText>
      </w:r>
      <w:r>
        <w:rPr>
          <w:rStyle w:val="13"/>
          <w:rFonts w:hint="default" w:ascii="Arial" w:hAnsi="Arial" w:eastAsia="SimSun"/>
          <w:i w:val="0"/>
          <w:iCs w:val="0"/>
        </w:rPr>
        <w:fldChar w:fldCharType="separate"/>
      </w:r>
      <w:r>
        <w:rPr>
          <w:rStyle w:val="13"/>
          <w:rFonts w:hint="default" w:ascii="Arial" w:hAnsi="Arial" w:eastAsia="SimSun"/>
          <w:i w:val="0"/>
          <w:iCs w:val="0"/>
        </w:rPr>
        <w:t>Angular coding style guide</w:t>
      </w:r>
      <w:r>
        <w:rPr>
          <w:rStyle w:val="13"/>
          <w:rFonts w:hint="default" w:ascii="Arial" w:hAnsi="Arial" w:eastAsia="SimSun"/>
          <w:i w:val="0"/>
          <w:iCs w:val="0"/>
        </w:rPr>
        <w:fldChar w:fldCharType="end"/>
      </w:r>
    </w:p>
    <w:p>
      <w:pPr>
        <w:pStyle w:val="23"/>
        <w:numPr>
          <w:ilvl w:val="0"/>
          <w:numId w:val="4"/>
        </w:numPr>
        <w:jc w:val="both"/>
        <w:rPr>
          <w:rFonts w:hint="default" w:ascii="Arial" w:hAnsi="Arial"/>
          <w:i w:val="0"/>
          <w:iCs w:val="0"/>
          <w:color w:val="auto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begin"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instrText xml:space="preserve"> HYPERLINK "https://dart.dev/guides/language/effective-dart/style" </w:instrTex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t>Effective Dart: Style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end"/>
      </w:r>
    </w:p>
    <w:p>
      <w:pPr>
        <w:pStyle w:val="2"/>
        <w:rPr>
          <w:rFonts w:hint="default" w:ascii="Arial" w:hAnsi="Arial" w:cs="Arial"/>
          <w:lang w:val="pt-BR"/>
        </w:rPr>
      </w:pPr>
      <w:bookmarkStart w:id="6" w:name="_Toc105989059"/>
      <w:bookmarkStart w:id="7" w:name="_Toc15143"/>
      <w:r>
        <w:t>Organização e Estilo do Código</w:t>
      </w:r>
      <w:bookmarkEnd w:id="6"/>
      <w:r>
        <w:rPr>
          <w:rFonts w:hint="default"/>
          <w:lang w:val="pt-BR"/>
        </w:rPr>
        <w:t xml:space="preserve"> C#</w:t>
      </w:r>
      <w:bookmarkEnd w:id="7"/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Todo código deve ser indentado com 4 espaços ou tabulação;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Todo item público deve ser documentado utilizando a notação de comentários em XML do C#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 (ver seção 2.1)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Deve haver uma linha em branco entre as definições de método e de propriedades;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Uma linha não deve conter mais de uma instrução ou declaração;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Caso seja necessário encadear chamadas de métodos, faça isto quebrando a linha;</w:t>
      </w:r>
    </w:p>
    <w:p>
      <w:pPr>
        <w:pStyle w:val="3"/>
        <w:bidi w:val="0"/>
        <w:ind w:left="0" w:leftChars="0"/>
      </w:pPr>
      <w:bookmarkStart w:id="8" w:name="_Toc105989060"/>
      <w:bookmarkStart w:id="9" w:name="_Toc3002"/>
      <w:r>
        <w:t>Comentários</w:t>
      </w:r>
      <w:bookmarkEnd w:id="8"/>
      <w:r>
        <w:rPr>
          <w:rFonts w:hint="default"/>
          <w:lang w:val="pt-BR"/>
        </w:rPr>
        <w:t xml:space="preserve"> em C#</w:t>
      </w:r>
      <w:bookmarkEnd w:id="9"/>
    </w:p>
    <w:p>
      <w:pPr>
        <w:pStyle w:val="23"/>
        <w:numPr>
          <w:numId w:val="0"/>
        </w:numPr>
        <w:ind w:left="360" w:leftChars="0" w:firstLine="704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adicionar estes comentários pelo Visual Studio, basta posicioinar cursor na linha diretamente acima da classe, propriedade ou método e pressionar a tecla “/” três vezes. Assim, uma estrutura XML será gerada, bastando preenchê-la com as informações de documentação.</w:t>
      </w:r>
    </w:p>
    <w:p>
      <w:pPr>
        <w:pStyle w:val="23"/>
        <w:numPr>
          <w:numId w:val="0"/>
        </w:numPr>
        <w:ind w:left="360" w:leftChars="0" w:firstLine="704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Esta documentação será útil enquanto se desenvolve o código, no Visual Studio enquanto pairamos o mouse sobre um determinado tipo ele exibe as informações a partir desta documentação</w:t>
      </w:r>
    </w:p>
    <w:p>
      <w:pPr>
        <w:pStyle w:val="23"/>
        <w:numPr>
          <w:numId w:val="0"/>
        </w:numPr>
        <w:ind w:left="360" w:leftChars="0"/>
        <w:jc w:val="both"/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Exemplo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</w:rPr>
      </w:pPr>
      <w:r>
        <w:rPr>
          <w:rFonts w:hint="default" w:ascii="Courier" w:hAnsi="Courier"/>
          <w:color w:val="0070C0"/>
          <w:sz w:val="18"/>
          <w:szCs w:val="18"/>
        </w:rPr>
        <w:t>/// &lt;summary&gt;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  <w:lang w:val="pt-BR"/>
        </w:rPr>
      </w:pPr>
      <w:r>
        <w:rPr>
          <w:rFonts w:hint="default" w:ascii="Courier" w:hAnsi="Courier"/>
          <w:color w:val="0070C0"/>
          <w:sz w:val="18"/>
          <w:szCs w:val="18"/>
        </w:rPr>
        <w:t>///</w:t>
      </w:r>
      <w:r>
        <w:rPr>
          <w:rFonts w:hint="default" w:ascii="Courier" w:hAnsi="Courier"/>
          <w:color w:val="0070C0"/>
          <w:sz w:val="18"/>
          <w:szCs w:val="18"/>
          <w:lang w:val="pt-BR"/>
        </w:rPr>
        <w:t xml:space="preserve"> Classe base para implementações de repositórios.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</w:rPr>
      </w:pPr>
      <w:r>
        <w:rPr>
          <w:rFonts w:hint="default" w:ascii="Courier" w:hAnsi="Courier"/>
          <w:color w:val="0070C0"/>
          <w:sz w:val="18"/>
          <w:szCs w:val="18"/>
          <w:lang w:val="pt-BR"/>
        </w:rPr>
        <w:t xml:space="preserve">/// </w:t>
      </w:r>
      <w:r>
        <w:rPr>
          <w:rFonts w:hint="default" w:ascii="Courier" w:hAnsi="Courier"/>
          <w:color w:val="0070C0"/>
          <w:sz w:val="18"/>
          <w:szCs w:val="18"/>
        </w:rPr>
        <w:t>&lt;/summary&gt;</w:t>
      </w:r>
    </w:p>
    <w:p>
      <w:pPr>
        <w:pStyle w:val="3"/>
        <w:bidi w:val="0"/>
        <w:ind w:left="0" w:leftChars="0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u w:val="none"/>
          <w:lang w:val="en-US" w:eastAsia="pt-BR" w:bidi="ar-SA"/>
        </w:rPr>
      </w:pPr>
      <w:bookmarkStart w:id="10" w:name="_Toc105989061"/>
      <w:bookmarkStart w:id="11" w:name="_Toc17707"/>
      <w:r>
        <w:t>Nomeação</w:t>
      </w:r>
      <w:bookmarkEnd w:id="10"/>
      <w:bookmarkEnd w:id="11"/>
    </w:p>
    <w:p>
      <w:pPr>
        <w:pStyle w:val="23"/>
        <w:numPr>
          <w:ilvl w:val="0"/>
          <w:numId w:val="0"/>
        </w:numPr>
        <w:ind w:firstLine="708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Utilize </w:t>
      </w: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PascalCase 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nomear: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Classes;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Interfaces;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Enums;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Structs;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Em membros de tipo públicos (propriedades, eventos, métodos, funções);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Nomes de projetos;</w:t>
      </w:r>
    </w:p>
    <w:p>
      <w:pPr>
        <w:pStyle w:val="23"/>
        <w:numPr>
          <w:ilvl w:val="0"/>
          <w:numId w:val="0"/>
        </w:numPr>
        <w:ind w:left="360" w:leftChars="0"/>
        <w:jc w:val="both"/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ab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Utilize </w:t>
      </w: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camelCase </w:t>
      </w:r>
      <w:r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nomear: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ab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Membros privados (estes devem possuir ainda o prefixo “_”. Exemplo: “_servicoBase”);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Fonts w:hint="default"/>
          <w:lang w:val="en-US" w:eastAsia="pt-BR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Parâmetros de métodos;</w:t>
      </w: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2" w:name="_Toc32267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projetos</w:t>
      </w:r>
      <w:bookmarkEnd w:id="12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Nome de projetos devem possuir a seguinte estrutura: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  <w:t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&lt;Empresa&gt;.&lt;Projeto&gt;.&lt;Componente&gt;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Dlls.Comcer.Api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3" w:name="_Toc12229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enumeradores</w:t>
      </w:r>
      <w:bookmarkEnd w:id="13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Enumeradores devem possuir o prefixo “Enum&lt;Nome&gt;”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EnumTipoDePessoa.cs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4" w:name="_Toc8635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>Nomeação de interfaces de serviço</w:t>
      </w:r>
      <w:bookmarkEnd w:id="14"/>
    </w:p>
    <w:p>
      <w:pPr>
        <w:rPr>
          <w:rFonts w:hint="default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  <w:t>Interfaces de serviço devem possuir o prefixo “IServicoDe&lt;Nome&gt;”.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  <w:t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IServicoDeComanda.cs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5" w:name="_Toc8667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interfaces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repositório</w:t>
      </w:r>
      <w:bookmarkEnd w:id="15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Interfaces de repositório devem possuir o prefixo “IRepositorioDe&lt;Nome&gt;”.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IRepositorioDeComanda.cs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6" w:name="_Toc7455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serviço</w:t>
      </w:r>
      <w:bookmarkEnd w:id="16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Implementações de serviço devem possuir o prefixo “ServicoDe&lt;Nome&gt;”, e o sufixo “Impl”.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ServicoDeComandaImpl.cs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7" w:name="_Toc32596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repositório</w:t>
      </w:r>
      <w:bookmarkEnd w:id="17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Interfaces de repositório devem possuir o prefixo  “RepositorioDe&lt;Nome&gt;”, e o sufixo “Impl”.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RepositorioDeComandaImpl.cs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8" w:name="_Toc18403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classes de validação</w:t>
      </w:r>
      <w:bookmarkEnd w:id="18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Classes de validação devem possuir o prefixo “ValidacoesDe&lt;Nome&gt;”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ValidacoesDeComanda.cs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9" w:name="_Toc7969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classes de conversores</w:t>
      </w:r>
      <w:bookmarkEnd w:id="19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Classes de conversores devem possuir o prefixo “ConversorDe&lt;Nome&gt;”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ConversorDeComanda.cs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2"/>
        <w:rPr>
          <w:lang w:val="pt-PT"/>
        </w:rPr>
      </w:pPr>
      <w:bookmarkStart w:id="20" w:name="_Toc105989065"/>
      <w:bookmarkStart w:id="21" w:name="_Toc19290"/>
      <w:r>
        <w:rPr>
          <w:lang w:val="pt-PT"/>
        </w:rPr>
        <w:t>Tratamento de Erros e de Exceções</w:t>
      </w:r>
      <w:bookmarkEnd w:id="20"/>
      <w:bookmarkEnd w:id="21"/>
    </w:p>
    <w:p>
      <w:pPr>
        <w:pStyle w:val="2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[Esta seção fornece regras e diretrizes sobre como os erros e as exceções devem ser tratados. Ex.: </w:t>
      </w:r>
    </w:p>
    <w:p>
      <w:pPr>
        <w:pStyle w:val="23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Criar uma casse de tratamento de exceções na camada de apresentação.</w:t>
      </w:r>
    </w:p>
    <w:p>
      <w:pPr>
        <w:pStyle w:val="23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Garantir que as exceções subam para a camada de apresentação, usando a clausula Trows nos métodos envolvidos.</w:t>
      </w:r>
    </w:p>
    <w:p>
      <w:pPr>
        <w:pStyle w:val="2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>
      <w:pPr>
        <w:pStyle w:val="2"/>
        <w:rPr>
          <w:lang w:val="pt-PT"/>
        </w:rPr>
      </w:pPr>
      <w:bookmarkStart w:id="22" w:name="_Toc8899"/>
      <w:r>
        <w:rPr>
          <w:lang w:val="pt-PT"/>
        </w:rPr>
        <w:t>teste unitário</w:t>
      </w:r>
      <w:bookmarkEnd w:id="22"/>
    </w:p>
    <w:p>
      <w:pPr>
        <w:pStyle w:val="23"/>
        <w:numPr>
          <w:ilvl w:val="0"/>
          <w:numId w:val="5"/>
        </w:numPr>
        <w:jc w:val="both"/>
        <w:rPr>
          <w:rFonts w:hint="default" w:ascii="Arial" w:hAnsi="Arial" w:eastAsia="Times New Roman" w:cs="Arial"/>
          <w:i w:val="0"/>
          <w:iCs w:val="0"/>
          <w:color w:val="000000"/>
          <w:lang w:val="pt-PT" w:eastAsia="pt-BR" w:bidi="ar-SA"/>
        </w:rPr>
      </w:pPr>
      <w:r>
        <w:rPr>
          <w:rFonts w:hint="default" w:ascii="Arial" w:hAnsi="Arial" w:eastAsia="Times New Roman" w:cs="Arial"/>
          <w:i w:val="0"/>
          <w:iCs w:val="0"/>
          <w:color w:val="000000"/>
          <w:lang w:val="pt-BR" w:eastAsia="pt-BR" w:bidi="ar-SA"/>
        </w:rPr>
        <w:t>Toda classe de validação deve possuir testes unitários;</w:t>
      </w:r>
    </w:p>
    <w:p>
      <w:pPr>
        <w:pStyle w:val="23"/>
        <w:numPr>
          <w:ilvl w:val="0"/>
          <w:numId w:val="5"/>
        </w:numPr>
        <w:jc w:val="both"/>
        <w:rPr>
          <w:rFonts w:hint="default" w:ascii="Arial" w:hAnsi="Arial" w:eastAsia="Times New Roman" w:cs="Arial"/>
          <w:i w:val="0"/>
          <w:iCs w:val="0"/>
          <w:color w:val="000000"/>
          <w:lang w:val="pt-PT" w:eastAsia="pt-BR" w:bidi="ar-SA"/>
        </w:rPr>
      </w:pPr>
      <w:r>
        <w:rPr>
          <w:rFonts w:hint="default" w:ascii="Arial" w:hAnsi="Arial" w:eastAsia="Times New Roman" w:cs="Arial"/>
          <w:i w:val="0"/>
          <w:iCs w:val="0"/>
          <w:color w:val="000000"/>
          <w:lang w:val="pt-BR" w:eastAsia="pt-BR" w:bidi="ar-SA"/>
        </w:rPr>
        <w:t>Todo conversor deve possuir testes unitários;</w:t>
      </w:r>
      <w:bookmarkStart w:id="25" w:name="_GoBack"/>
      <w:bookmarkEnd w:id="25"/>
    </w:p>
    <w:p>
      <w:pPr>
        <w:pStyle w:val="2"/>
        <w:rPr>
          <w:lang w:val="pt-PT"/>
        </w:rPr>
      </w:pPr>
      <w:bookmarkStart w:id="23" w:name="_Toc105989069"/>
      <w:bookmarkStart w:id="24" w:name="_Toc29307"/>
      <w:r>
        <w:rPr>
          <w:lang w:val="pt-PT"/>
        </w:rPr>
        <w:t>Diretrizes Gerais</w:t>
      </w:r>
      <w:bookmarkEnd w:id="23"/>
      <w:bookmarkEnd w:id="24"/>
    </w:p>
    <w:p>
      <w:pPr>
        <w:pStyle w:val="21"/>
        <w:rPr>
          <w:lang w:val="pt-PT"/>
        </w:rPr>
      </w:pPr>
      <w:r>
        <w:rPr>
          <w:lang w:val="pt-PT"/>
        </w:rPr>
        <w:t>[Esta seção deve descrever, caso existam, diretrizes e estratégias a serem usadas no desenvolvimento].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51" w:right="851" w:bottom="851" w:left="1418" w:header="567" w:footer="48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804"/>
      <w:gridCol w:w="1201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cantSplit/>
      </w:trPr>
      <w:tc>
        <w:tcPr>
          <w:tcW w:w="6804" w:type="dxa"/>
        </w:tcPr>
        <w:p>
          <w:pPr>
            <w:pStyle w:val="18"/>
            <w:tabs>
              <w:tab w:val="left" w:pos="5438"/>
              <w:tab w:val="clear" w:pos="4320"/>
              <w:tab w:val="clear" w:pos="8640"/>
            </w:tabs>
            <w:jc w:val="left"/>
          </w:pPr>
          <w:sdt>
            <w:sdtPr>
              <w:rPr>
                <w:rFonts w:hint="default"/>
                <w:lang w:val="en-US"/>
              </w:rPr>
              <w:alias w:val="Gestor"/>
              <w:id w:val="277766455"/>
              <w:placeholder>
                <w:docPart w:val="9513406EBF1B4C52A68DAAA365EF485A"/>
              </w:placeholder>
              <w15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rFonts w:hint="default"/>
                  <w:lang w:val="pt-BR"/>
                </w:rPr>
                <w:t>COMCER - Comanda certa</w:t>
              </w:r>
            </w:sdtContent>
          </w:sdt>
          <w:r>
            <w:tab/>
          </w:r>
          <w:sdt>
            <w:sdtPr>
              <w:alias w:val="Assunto"/>
              <w:id w:val="-1124382113"/>
              <w:placeholder>
                <w:docPart w:val="F3FC27B1064442C1B02B43BD7819FF94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201" w:type="dxa"/>
          <w:vAlign w:val="center"/>
        </w:tcPr>
        <w:p>
          <w:pPr>
            <w:pStyle w:val="18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>
          <w:pPr>
            <w:pStyle w:val="18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1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id w:val="1460689924"/>
          <w:placeholder>
            <w:docPart w:val="BD72A9BF7CD34115B9D1614B5D4C8A42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>
          <w:pPr>
            <w:rPr>
              <w:b/>
            </w:rPr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1727"/>
    <w:multiLevelType w:val="multilevel"/>
    <w:tmpl w:val="30CE17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6730696C"/>
    <w:multiLevelType w:val="multilevel"/>
    <w:tmpl w:val="673069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F37BFE"/>
    <w:multiLevelType w:val="multilevel"/>
    <w:tmpl w:val="73F37BFE"/>
    <w:lvl w:ilvl="0" w:tentative="0">
      <w:start w:val="1"/>
      <w:numFmt w:val="bullet"/>
      <w:pStyle w:val="15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  <w:b/>
        <w:bCs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52"/>
    <w:rsid w:val="00011160"/>
    <w:rsid w:val="000969F4"/>
    <w:rsid w:val="00331F28"/>
    <w:rsid w:val="003F6411"/>
    <w:rsid w:val="00465CD2"/>
    <w:rsid w:val="00485865"/>
    <w:rsid w:val="005D6F63"/>
    <w:rsid w:val="00605014"/>
    <w:rsid w:val="00694BCF"/>
    <w:rsid w:val="006A0DA7"/>
    <w:rsid w:val="006D0D4F"/>
    <w:rsid w:val="00773F43"/>
    <w:rsid w:val="008C768A"/>
    <w:rsid w:val="008F6B05"/>
    <w:rsid w:val="009C64D5"/>
    <w:rsid w:val="00A26925"/>
    <w:rsid w:val="00AD18DC"/>
    <w:rsid w:val="00AE3B37"/>
    <w:rsid w:val="00BA7D05"/>
    <w:rsid w:val="00BF4F36"/>
    <w:rsid w:val="00CE4F52"/>
    <w:rsid w:val="00E6002C"/>
    <w:rsid w:val="00F7665D"/>
    <w:rsid w:val="0261575A"/>
    <w:rsid w:val="0B604C03"/>
    <w:rsid w:val="103149D7"/>
    <w:rsid w:val="21187B01"/>
    <w:rsid w:val="2B435E14"/>
    <w:rsid w:val="3393418B"/>
    <w:rsid w:val="36E863EA"/>
    <w:rsid w:val="37E80017"/>
    <w:rsid w:val="42067A14"/>
    <w:rsid w:val="456B68A0"/>
    <w:rsid w:val="4F835247"/>
    <w:rsid w:val="5CDF4233"/>
    <w:rsid w:val="630912D8"/>
    <w:rsid w:val="65CC34B9"/>
    <w:rsid w:val="69B7026E"/>
    <w:rsid w:val="722708C0"/>
    <w:rsid w:val="78D6573E"/>
    <w:rsid w:val="7E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iPriority w:val="99"/>
    <w:rPr>
      <w:color w:val="0000FF"/>
      <w:u w:val="single"/>
    </w:rPr>
  </w:style>
  <w:style w:type="paragraph" w:styleId="14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5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6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17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18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9">
    <w:name w:val="toc 3"/>
    <w:basedOn w:val="14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0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customStyle="1" w:styleId="21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22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23">
    <w:name w:val="infoblue"/>
    <w:basedOn w:val="1"/>
    <w:uiPriority w:val="0"/>
    <w:pPr>
      <w:spacing w:before="100" w:beforeAutospacing="1" w:after="100" w:afterAutospacing="1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24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88F7CD6BC044BAF93C0151798BD623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3ECCD-92E9-4E70-9436-723CD1B30BEB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BD72A9BF7CD34115B9D1614B5D4C8A4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6265B-C0FE-4F70-B913-AD08414D7308}"/>
      </w:docPartPr>
      <w:docPartBody>
        <w:p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F3FC27B1064442C1B02B43BD7819FF9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99D778-2D69-4EB5-8D2D-612BC5C7F199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9513406EBF1B4C52A68DAAA365EF485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6FD9B3-C336-4132-B5E5-95039F93BEBC}"/>
      </w:docPartPr>
      <w:docPartBody>
        <w:p>
          <w:r>
            <w:rPr>
              <w:rStyle w:val="4"/>
            </w:rPr>
            <w:t>[Gestor]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FE"/>
    <w:rsid w:val="004C0615"/>
    <w:rsid w:val="006E69FE"/>
    <w:rsid w:val="00C44990"/>
    <w:rsid w:val="00EE14F6"/>
    <w:rsid w:val="00F4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pt-PT" w:eastAsia="pt-PT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88F7CD6BC044BAF93C0151798BD623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6">
    <w:name w:val="BD72A9BF7CD34115B9D1614B5D4C8A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Manager>COMCER - Comanda certa</Manager>
  <Pages>4</Pages>
  <Words>540</Words>
  <Characters>2920</Characters>
  <Lines>24</Lines>
  <Paragraphs>6</Paragraphs>
  <TotalTime>1</TotalTime>
  <ScaleCrop>false</ScaleCrop>
  <LinksUpToDate>false</LinksUpToDate>
  <CharactersWithSpaces>3454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2015-05-27T07:23:00Z</dcterms:created>
  <dc:creator>Edson Murakami</dc:creator>
  <cp:lastModifiedBy>lucas</cp:lastModifiedBy>
  <cp:lastPrinted>2004-08-19T09:54:00Z</cp:lastPrinted>
  <dcterms:modified xsi:type="dcterms:W3CDTF">2021-10-09T16:59:48Z</dcterms:modified>
  <dc:subject>Versão 1.0</dc:subject>
  <dc:title>Guia de Implementação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