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2CEE" w14:textId="77777777" w:rsidR="00A57C7D" w:rsidRDefault="003F61A1">
      <w:pPr>
        <w:pStyle w:val="Heading2"/>
      </w:pPr>
      <w:bookmarkStart w:id="0" w:name="_modeling"/>
      <w:r>
        <w:t>Modeling</w:t>
      </w:r>
    </w:p>
    <w:p w14:paraId="4A606075" w14:textId="77777777" w:rsidR="00A57C7D" w:rsidRDefault="003F61A1">
      <w:pPr>
        <w:pStyle w:val="FirstParagraph"/>
      </w:pPr>
      <w:r>
        <w:t>We ask how two grocery subsidy policies change consumer welfare in Bronx Community District 2 (CD2). The first is a fixed-cost subsidy to an existing store, either a rent subsidy or a FRESH-style property-tax break. The second is the NYC Groceries contract, under which a store sells core basket items at 30% off. The model is static: shoppers re-choose stores after a policy, but competing stores do not respond.</w:t>
      </w:r>
    </w:p>
    <w:p w14:paraId="6E61329B" w14:textId="77777777" w:rsidR="00A57C7D" w:rsidRDefault="003F61A1">
      <w:pPr>
        <w:pStyle w:val="BodyText"/>
      </w:pPr>
      <w:r>
        <w:rPr>
          <w:b/>
          <w:bCs/>
        </w:rPr>
        <w:t>Consumers and stores.</w:t>
      </w:r>
      <w:r>
        <w:t xml:space="preserve"> Households are grouped by census tract </w:t>
      </w:r>
      <m:oMath>
        <m:r>
          <w:rPr>
            <w:rFonts w:ascii="Cambria Math" w:hAnsi="Cambria Math"/>
          </w:rPr>
          <m:t>t</m:t>
        </m:r>
      </m:oMath>
      <w:r>
        <w:t xml:space="preserve">, the finest level with usable data, and by income group </w:t>
      </w:r>
      <m:oMath>
        <m:r>
          <w:rPr>
            <w:rFonts w:ascii="Cambria Math" w:hAnsi="Cambria Math"/>
          </w:rPr>
          <m:t>g</m:t>
        </m:r>
      </m:oMath>
      <w:r>
        <w:t xml:space="preserve"> (low, mid, high), because both price sensitivity and grocery spending depend on income. Each consumer group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households. The choice set </w:t>
      </w:r>
      <m:oMath>
        <m:r>
          <w:rPr>
            <w:rFonts w:ascii="Cambria Math" w:hAnsi="Cambria Math"/>
          </w:rPr>
          <m:t>J</m:t>
        </m:r>
      </m:oMath>
      <w:r>
        <w:t xml:space="preserve"> contains the nine existing CD2 grocery stores (six supermarkets and three small independents), plus the planned NYC Groceries store when the contract is modeled.</w:t>
      </w:r>
    </w:p>
    <w:p w14:paraId="21DF56CD" w14:textId="77777777" w:rsidR="00A57C7D" w:rsidRDefault="003F61A1">
      <w:pPr>
        <w:pStyle w:val="BodyText"/>
      </w:pPr>
      <w:r>
        <w:rPr>
          <w:b/>
          <w:bCs/>
        </w:rPr>
        <w:t>Utility.</w:t>
      </w:r>
      <w:r>
        <w:t xml:space="preserve"> </w:t>
      </w:r>
      <w:r>
        <w:t>A group’s preference for a store is measured by utility, which ranks stores but has no units of its own. Systematic utility is</w:t>
      </w:r>
    </w:p>
    <w:p w14:paraId="1011BEEE" w14:textId="77777777" w:rsidR="00A57C7D" w:rsidRDefault="003F61A1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sq</m:t>
              </m:r>
            </m:sub>
          </m:sSub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1000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3D67CBE" w14:textId="77777777" w:rsidR="00A57C7D" w:rsidRDefault="003F61A1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is floor area,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is the street-grid (Manhattan) distance in miles from the tract to the store,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is the store’s price for a standard basket, and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>
        <w:t xml:space="preserve"> </w:t>
      </w:r>
      <w:r>
        <w:t xml:space="preserve">is the average basket price across stores. A household chooses a store once per trip but buys several baskets on that trip, so the price gap is multiplied by baskets per trip,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52 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 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t xml:space="preserve"> is weekly food-at-home spending and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52</m:t>
        </m:r>
      </m:oMath>
      <w:r>
        <w:t xml:space="preserve"> is trips per year, 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is the utility of one dollar of spending per trip. The store-type constant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(supermarket or small independent) absorbs what size, price and distance miss, such as variety and quality.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sq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</w:t>
      </w:r>
      <w:r>
        <w:t xml:space="preserve">come from Hillier et al. (2017);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are calibrated as described below.</w:t>
      </w:r>
    </w:p>
    <w:p w14:paraId="267C350E" w14:textId="77777777" w:rsidR="00A57C7D" w:rsidRDefault="003F61A1">
      <w:pPr>
        <w:pStyle w:val="BodyText"/>
      </w:pPr>
      <w:r>
        <w:rPr>
          <w:b/>
          <w:bCs/>
        </w:rPr>
        <w:t>Choice.</w:t>
      </w:r>
      <w:r>
        <w:t xml:space="preserve"> Shoppers also respond to factors we do not observe, so total utility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. We assume each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is an independent draw from a Type I extreme value (Gumbel) distribution, which gives the multinomial logit choice probabilities in closed form (McFadden 1974; Train 2009). Households also shop at bodegas and at stores outside CD2. We group these as an outside option, “other stores” (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),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The probability that group </w:t>
      </w:r>
      <m:oMath>
        <m:r>
          <w:rPr>
            <w:rFonts w:ascii="Cambria Math" w:hAnsi="Cambria Math"/>
          </w:rPr>
          <m:t>i</m:t>
        </m:r>
      </m:oMath>
      <w:r>
        <w:t xml:space="preserve"> chooses store </w:t>
      </w:r>
      <m:oMath>
        <m:r>
          <w:rPr>
            <w:rFonts w:ascii="Cambria Math" w:hAnsi="Cambria Math"/>
          </w:rPr>
          <m:t>j</m:t>
        </m:r>
      </m:oMath>
      <w:r>
        <w:t xml:space="preserve"> is</w:t>
      </w:r>
    </w:p>
    <w:p w14:paraId="060C1E20" w14:textId="77777777" w:rsidR="00A57C7D" w:rsidRDefault="003F61A1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9EC6268" w14:textId="77777777" w:rsidR="00A57C7D" w:rsidRDefault="003F61A1">
      <w:pPr>
        <w:pStyle w:val="FirstParagraph"/>
      </w:pPr>
      <w:r>
        <w:t xml:space="preserve">The 1 is the outside option’s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t xml:space="preserve">, so the remainder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e>
        </m:nary>
      </m:oMath>
      <w:r>
        <w:t xml:space="preserve"> is group </w:t>
      </w:r>
      <m:oMath>
        <m:r>
          <w:rPr>
            <w:rFonts w:ascii="Cambria Math" w:hAnsi="Cambria Math"/>
          </w:rPr>
          <m:t>i</m:t>
        </m:r>
      </m:oMath>
      <w:r>
        <w:t>’s share of trips to other stores.</w:t>
      </w:r>
    </w:p>
    <w:p w14:paraId="1C87ECC6" w14:textId="77777777" w:rsidR="00A57C7D" w:rsidRDefault="003F61A1">
      <w:pPr>
        <w:pStyle w:val="BodyText"/>
      </w:pPr>
      <w:r>
        <w:rPr>
          <w:b/>
          <w:bCs/>
        </w:rPr>
        <w:t>Welfare.</w:t>
      </w:r>
      <w:r>
        <w:t xml:space="preserve"> Under the same Gumbel assumption, the expected utility of a group’s best option on a trip is the “logsum”</w:t>
      </w:r>
    </w:p>
    <w:p w14:paraId="25933C3A" w14:textId="77777777" w:rsidR="00A57C7D" w:rsidRDefault="003F61A1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</w:rPr>
                    <m:t>k</m:t>
                  </m:r>
                </m:lim>
              </m:limLow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C7A3DD0" w14:textId="77777777" w:rsidR="00A57C7D" w:rsidRDefault="003F61A1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0.577</m:t>
        </m:r>
      </m:oMath>
      <w:r>
        <w:t xml:space="preserve"> is Euler’s constant, the mean of the Gumbel distribution, which cancels when changes are taken. Dividing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the utility of a dollar, converts utility to dollars per trip, and multiplying by </w:t>
      </w:r>
      <m:oMath>
        <m:r>
          <w:rPr>
            <w:rFonts w:ascii="Cambria Math" w:hAnsi="Cambria Math"/>
          </w:rPr>
          <m:t>T</m:t>
        </m:r>
      </m:oMath>
      <w:r>
        <w:t xml:space="preserve"> makes it annual (Small and Rosen 1981). The annual change in consumer surplus is</w:t>
      </w:r>
    </w:p>
    <w:p w14:paraId="18A205A5" w14:textId="77777777" w:rsidR="00A57C7D" w:rsidRDefault="003F61A1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CS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 </m:t>
                  </m:r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ln(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ik</m:t>
                          </m:r>
                        </m:sub>
                        <m:sup>
                          <m:r>
                            <m:rPr>
                              <m:nor/>
                            </m:rPr>
                            <m:t>post</m:t>
                          </m:r>
                        </m:sup>
                      </m:sSubSup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)-ln(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ik</m:t>
                          </m:r>
                        </m:sub>
                        <m:sup>
                          <m:r>
                            <m:rPr>
                              <m:nor/>
                            </m:rPr>
                            <m:t>pre</m:t>
                          </m:r>
                        </m:sup>
                      </m:sSubSup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ABF3D72" w14:textId="77777777" w:rsidR="00A57C7D" w:rsidRDefault="003F61A1">
      <w:pPr>
        <w:pStyle w:val="FirstParagraph"/>
      </w:pPr>
      <w:r>
        <w:t>It counts both savings at a household’s usual store and gains from switching stores.</w:t>
      </w:r>
    </w:p>
    <w:p w14:paraId="35A5023A" w14:textId="77777777" w:rsidR="00A57C7D" w:rsidRDefault="003F61A1">
      <w:pPr>
        <w:pStyle w:val="BodyText"/>
      </w:pPr>
      <w:r>
        <w:rPr>
          <w:b/>
          <w:bCs/>
        </w:rPr>
        <w:t>Policies.</w:t>
      </w:r>
      <w:r>
        <w:t xml:space="preserve"> Each policy lowers the basket price at store </w:t>
      </w:r>
      <m:oMath>
        <m:r>
          <w:rPr>
            <w:rFonts w:ascii="Cambria Math" w:hAnsi="Cambria Math"/>
          </w:rPr>
          <m:t>j</m:t>
        </m:r>
      </m:oMath>
      <w:r>
        <w:t xml:space="preserve">. We recompute (1) at the new price and evaluate (4). A </w:t>
      </w:r>
      <w:r>
        <w:rPr>
          <w:i/>
          <w:iCs/>
        </w:rPr>
        <w:t>rent subsidy or tax break</w:t>
      </w:r>
      <w:r>
        <w:t xml:space="preserve"> of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 xml:space="preserve">dollars per year lowers the store’s fixed costs. A share </w:t>
      </w:r>
      <m:oMath>
        <m:r>
          <w:rPr>
            <w:rFonts w:ascii="Cambria Math" w:hAnsi="Cambria Math"/>
          </w:rPr>
          <m:t>θ</m:t>
        </m:r>
      </m:oMath>
      <w:r>
        <w:t xml:space="preserve"> is passed on to shoppers, spread over the baskets the store sells in a year:</w:t>
      </w:r>
    </w:p>
    <w:p w14:paraId="16532D4F" w14:textId="77777777" w:rsidR="00A57C7D" w:rsidRDefault="003F61A1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FFDF90F" w14:textId="77777777" w:rsidR="00A57C7D" w:rsidRDefault="003F61A1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is the model’s predicted number of baskets sold at </w:t>
      </w:r>
      <m:oMath>
        <m:r>
          <w:rPr>
            <w:rFonts w:ascii="Cambria Math" w:hAnsi="Cambria Math"/>
          </w:rPr>
          <m:t>j</m:t>
        </m:r>
      </m:oMath>
      <w:r>
        <w:t xml:space="preserve"> per year before the policy. At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shoppers receive the whole subsidy as lower prices. A fixed-cost subsidy need not change a profit-maximizing store’s prices (Weyl and Fabinger 2013), so no published value of </w:t>
      </w:r>
      <m:oMath>
        <m:r>
          <w:rPr>
            <w:rFonts w:ascii="Cambria Math" w:hAnsi="Cambria Math"/>
          </w:rPr>
          <m:t>θ</m:t>
        </m:r>
      </m:oMath>
      <w:r>
        <w:t xml:space="preserve"> applies, and we test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0.25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0.50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0.75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</w:t>
      </w:r>
    </w:p>
    <w:p w14:paraId="1D486142" w14:textId="77777777" w:rsidR="00A57C7D" w:rsidRDefault="003F61A1">
      <w:pPr>
        <w:pStyle w:val="BodyText"/>
      </w:pPr>
      <w:r>
        <w:t xml:space="preserve">Under the </w:t>
      </w:r>
      <w:r>
        <w:rPr>
          <w:i/>
          <w:iCs/>
        </w:rPr>
        <w:t>NYC Groceries contract</w:t>
      </w:r>
      <w:r>
        <w:t xml:space="preserve">, core items are 30% off, so group </w:t>
      </w:r>
      <m:oMath>
        <m:r>
          <w:rPr>
            <w:rFonts w:ascii="Cambria Math" w:hAnsi="Cambria Math"/>
          </w:rPr>
          <m:t>g</m:t>
        </m:r>
      </m:oMath>
      <w:r>
        <w:t>’s basket price falls by</w:t>
      </w:r>
    </w:p>
    <w:p w14:paraId="7CC7EC47" w14:textId="77777777" w:rsidR="00A57C7D" w:rsidRDefault="003F61A1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0.30 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CC04EB0" w14:textId="77777777" w:rsidR="00A57C7D" w:rsidRDefault="003F61A1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t xml:space="preserve"> is the share of group </w:t>
      </w:r>
      <m:oMath>
        <m:r>
          <w:rPr>
            <w:rFonts w:ascii="Cambria Math" w:hAnsi="Cambria Math"/>
          </w:rPr>
          <m:t>g</m:t>
        </m:r>
      </m:oMath>
      <w:r>
        <w:t>’s grocery spending that goes to core items; the contract guarantees full pass-through (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). The city pays the store’s rent and property tax, plus an Affordability Payment 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if the discount costs more. The store’s core share is its core sales over its total sales after shoppers re-sort:</w:t>
      </w:r>
    </w:p>
    <w:p w14:paraId="18978930" w14:textId="77777777" w:rsidR="00A57C7D" w:rsidRDefault="003F61A1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  <m:sup>
                  <m:r>
                    <m:rPr>
                      <m:nor/>
                    </m:rPr>
                    <m:t>post</m:t>
                  </m:r>
                </m:sup>
              </m:sSubSup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  <m:sup>
                  <m:r>
                    <m:rPr>
                      <m:nor/>
                    </m:rPr>
                    <m:t>post</m:t>
                  </m:r>
                </m:sup>
              </m:sSubSup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876A259" w14:textId="77777777" w:rsidR="00A57C7D" w:rsidRDefault="003F61A1">
      <w:pPr>
        <w:pStyle w:val="FirstParagraph"/>
      </w:pPr>
      <w:r>
        <w:t xml:space="preserve">Each group’s sales at </w:t>
      </w:r>
      <m:oMath>
        <m:r>
          <w:rPr>
            <w:rFonts w:ascii="Cambria Math" w:hAnsi="Cambria Math"/>
          </w:rPr>
          <m:t>j</m:t>
        </m:r>
      </m:oMath>
      <w:r>
        <w:t xml:space="preserve"> are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; </w:t>
      </w:r>
      <m:oMath>
        <m:r>
          <w:rPr>
            <w:rFonts w:ascii="Cambria Math" w:hAnsi="Cambria Math"/>
          </w:rPr>
          <m:t>T</m:t>
        </m:r>
      </m:oMath>
      <w:r>
        <w:t xml:space="preserve"> and the shelf price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are the same for every group, so they cancel. The annual public cost of the contract is</w:t>
      </w:r>
    </w:p>
    <w:p w14:paraId="4A3EF4BE" w14:textId="77777777" w:rsidR="00A57C7D" w:rsidRDefault="003F61A1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Rent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Tax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Rent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Tax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</m:t>
              </m:r>
              <m:r>
                <w:rPr>
                  <w:rFonts w:ascii="Cambria Math" w:hAnsi="Cambria Math"/>
                </w:rPr>
                <m:t>0.30 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m:rPr>
                      <m:nor/>
                    </m:rPr>
                    <m:t>post</m:t>
                  </m:r>
                </m:sup>
              </m:sSubSup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C3FF0A4" w14:textId="77777777" w:rsidR="00A57C7D" w:rsidRDefault="003F61A1">
      <w:pPr>
        <w:pStyle w:val="FirstParagraph"/>
      </w:pPr>
      <w:r>
        <w:t xml:space="preserve">where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nor/>
              </m:rPr>
              <m:t>post</m:t>
            </m:r>
          </m:sup>
        </m:sSubSup>
      </m:oMath>
      <w:r>
        <w:t xml:space="preserve"> is the store’s predicted post-policy sales at pre-discount shelf prices. Because a logit model credits any new store with welfare simply for existing, for the planned store we count only the gain from the discount,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CS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%)-Δ</m:t>
        </m:r>
        <m:r>
          <w:rPr>
            <w:rFonts w:ascii="Cambria Math" w:hAnsi="Cambria Math"/>
          </w:rPr>
          <m:t>CS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%)</m:t>
        </m:r>
      </m:oMath>
      <w:r>
        <w:t>.</w:t>
      </w:r>
    </w:p>
    <w:p w14:paraId="6BFFB8B0" w14:textId="77777777" w:rsidR="00A57C7D" w:rsidRDefault="003F61A1">
      <w:pPr>
        <w:pStyle w:val="BodyText"/>
      </w:pPr>
      <w:r>
        <w:rPr>
          <w:b/>
          <w:bCs/>
        </w:rPr>
        <w:t>Objective.</w:t>
      </w:r>
      <w:r>
        <w:t xml:space="preserve"> </w:t>
      </w:r>
      <w:r>
        <w:t xml:space="preserve">The decision variable is the subsidy </w:t>
      </w:r>
      <m:oMath>
        <m:r>
          <w:rPr>
            <w:rFonts w:ascii="Cambria Math" w:hAnsi="Cambria Math"/>
          </w:rPr>
          <m:t>s</m:t>
        </m:r>
      </m:oMath>
      <w:r>
        <w:t xml:space="preserve">: the rent or tax payment, or for the contract the cost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as the discount varies from 0% to 30%. Given a welfare target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 xml:space="preserve"> set by the policymaker, we solve</w:t>
      </w:r>
    </w:p>
    <w:p w14:paraId="4C5D348B" w14:textId="77777777" w:rsidR="00A57C7D" w:rsidRDefault="003F61A1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=min{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∈[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]:Δ</m:t>
          </m:r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)≥Δ</m:t>
          </m:r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EB59509" w14:textId="77777777" w:rsidR="00A57C7D" w:rsidRDefault="003F61A1">
      <w:pPr>
        <w:pStyle w:val="FirstParagraph"/>
      </w:pPr>
      <w:r>
        <w:t xml:space="preserve">The cap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is the store’s rent, its tax bill, or the cost of the full 30% discount; targets beyond it are reported as unreachable. We compare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>
        <w:t xml:space="preserve"> across stores and policies for targets from $50,000 to $1 million per year.</w:t>
      </w:r>
      <w:bookmarkEnd w:id="0"/>
    </w:p>
    <w:sectPr w:rsidR="00A57C7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5B00A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95000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7C7D"/>
    <w:rsid w:val="003F61A1"/>
    <w:rsid w:val="004F0FE2"/>
    <w:rsid w:val="00A57C7D"/>
    <w:rsid w:val="00A7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0D3835"/>
  <w15:docId w15:val="{28A9695F-F632-4AB0-987D-A153414B7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/>
      <w:outlineLvl w:val="1"/>
    </w:pPr>
    <w:rPr>
      <w:rFonts w:eastAsia="Arial" w:cs="Arial"/>
      <w:b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801</Words>
  <Characters>4131</Characters>
  <Application>Microsoft Office Word</Application>
  <DocSecurity>0</DocSecurity>
  <Lines>67</Lines>
  <Paragraphs>27</Paragraphs>
  <ScaleCrop>false</ScaleCrop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Samuel De La Paz</cp:lastModifiedBy>
  <cp:revision>2</cp:revision>
  <cp:lastPrinted>2026-10-07T23:17:00Z</cp:lastPrinted>
  <dcterms:created xsi:type="dcterms:W3CDTF">2026-10-07T23:17:00Z</dcterms:created>
  <dcterms:modified xsi:type="dcterms:W3CDTF">2026-10-07T23:17:00Z</dcterms:modified>
</cp:coreProperties>
</file>