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_369acf428ea202bd7fed10d2dbb37ad40146b03"/>
    <w:p>
      <w:pPr>
        <w:pStyle w:val="Heading1"/>
      </w:pPr>
      <w:r>
        <w:t xml:space="preserve">NYC Grocery Subsidy Model Specification</w:t>
      </w:r>
    </w:p>
    <w:p>
      <w:pPr>
        <w:pStyle w:val="FirstParagraph"/>
      </w:pPr>
      <w:r>
        <w:rPr>
          <w:b/>
          <w:bCs/>
        </w:rPr>
        <w:t xml:space="preserve">Study area:</w:t>
      </w:r>
      <w:r>
        <w:t xml:space="preserve"> </w:t>
      </w:r>
      <w:r>
        <w:t xml:space="preserve">Bronx Community District 2 (Hunts Point / Longwood), New York City</w:t>
      </w:r>
      <w:r>
        <w:br/>
      </w:r>
      <w:r>
        <w:rPr>
          <w:b/>
          <w:bCs/>
        </w:rPr>
        <w:t xml:space="preserve">Policy context:</w:t>
      </w:r>
      <w:r>
        <w:t xml:space="preserve"> </w:t>
      </w:r>
      <w:r>
        <w:t xml:space="preserve">NYCEDC Request for Proposals —</w:t>
      </w:r>
      <w:r>
        <w:t xml:space="preserve"> </w:t>
      </w:r>
      <w:r>
        <w:rPr>
          <w:i/>
          <w:iCs/>
        </w:rPr>
        <w:t xml:space="preserve">NYC Groceries</w:t>
      </w:r>
      <w:r>
        <w:t xml:space="preserve"> </w:t>
      </w:r>
      <w:r>
        <w:t xml:space="preserve">initiative. The RFP solicits a city-operated or city-partnered full-service grocery store offering a 30% discount on a defined core basket of staple items, with NYCEDC covering rent, property taxes, and any remaining Affordability Payment required to deliver the discount.</w:t>
      </w:r>
      <w:r>
        <w:br/>
      </w:r>
      <w:r>
        <w:rPr>
          <w:b/>
          <w:bCs/>
        </w:rPr>
        <w:t xml:space="preserve">Model vintage:</w:t>
      </w:r>
      <w:r>
        <w:t xml:space="preserve"> </w:t>
      </w:r>
      <w:r>
        <w:t xml:space="preserve">September 2026 · data vintage: 2024 ACS / Aug 2026 CPI-adjusted prices</w:t>
      </w:r>
    </w:p>
    <w:p>
      <w:r>
        <w:pict>
          <v:rect style="width:0;height:1.5pt" o:hralign="center" o:hrstd="t" o:hr="t"/>
        </w:pict>
      </w:r>
    </w:p>
    <w:bookmarkStart w:id="9" w:name="_32b7c9dcff33be75533d97e446b83dea784dc15"/>
    <w:p>
      <w:pPr>
        <w:pStyle w:val="Heading2"/>
      </w:pPr>
      <w:r>
        <w:t xml:space="preserve">Causal Chain</w:t>
      </w:r>
    </w:p>
    <w:p>
      <w:pPr>
        <w:pStyle w:val="SourceCode"/>
      </w:pPr>
      <w:r>
        <w:rPr>
          <w:rStyle w:val="KeywordTok"/>
        </w:rPr>
        <w:t xml:space="preserve">flowchart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"Subsidy s</w:t>
      </w:r>
      <w:r>
        <w:rPr>
          <w:rStyle w:val="SpecialCharTok"/>
        </w:rPr>
        <w:t xml:space="preserve">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Rj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"Cost reduction\n(Rent_j + Tax_j + AP_j)"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Rj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Dpj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"Δp_j (price cut)"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Dpj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Vij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"V_ij (utility)"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Vij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sij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"s_ij (choice prob.)"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sij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--&gt;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DCS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"ΔCS (consumer welfare)"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9"/>
    <w:bookmarkStart w:id="23" w:name="_2446da7ca1a6a421c2a6f8269e4908cb8c98f40"/>
    <w:p>
      <w:pPr>
        <w:pStyle w:val="Heading2"/>
      </w:pPr>
      <w:r>
        <w:t xml:space="preserve">Part 1 — Model Equations</w:t>
      </w:r>
    </w:p>
    <w:bookmarkStart w:id="15" w:name="_48e7b4b44b1211c0d8d2e384e32f6e10011d018"/>
    <w:p>
      <w:pPr>
        <w:pStyle w:val="Heading3"/>
      </w:pPr>
      <w:r>
        <w:t xml:space="preserve">1.1 Consumer Demand</w:t>
      </w:r>
    </w:p>
    <w:bookmarkStart w:id="10" w:name="_utility"/>
    <w:p>
      <w:pPr>
        <w:pStyle w:val="Heading4"/>
      </w:pPr>
      <w:r>
        <w:t xml:space="preserve">1.1.1 Utility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sqft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sqft</m:t>
              </m:r>
            </m:e>
            <m:sub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−</m:t>
          </m:r>
          <m:r>
            <m:t> </m:t>
          </m:r>
          <m:sSub>
            <m:e>
              <m:r>
                <m:t>β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t> </m:t>
          </m:r>
          <m:r>
            <m:rPr>
              <m:sty m:val="p"/>
            </m:rPr>
            <m:t>−</m:t>
          </m:r>
          <m:r>
            <m:t> </m:t>
          </m:r>
          <m:sSub>
            <m:e>
              <m:r>
                <m:t>β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j</m:t>
              </m:r>
            </m:sub>
          </m:sSub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1105"/>
        <w:gridCol w:w="2394"/>
        <w:gridCol w:w="29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Value / Source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Indirect utility for consumer group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choosing store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sqft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Marginal utility of store floor area; common across groups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decision — no dataset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sqft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Store floor area (sq ft)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data/stores/large_grocery_stores_cd2.csv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Price dis-utility per dollar; varies by income group</w:t>
            </w:r>
            <w:r>
              <w:t xml:space="preserve"> </w:t>
            </w:r>
            <m:oMath>
              <m:r>
                <m:t>g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decision — no dataset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10-item Crossa basket price, CPI-adjusted to Aug 2026 ($/basket)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data/prices/p_j_cd2_candidate_stores.csv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Distance dis-utility per mile; varies by income group</w:t>
            </w:r>
            <w:r>
              <w:t xml:space="preserve"> </w:t>
            </w:r>
            <m:oMath>
              <m:r>
                <m:t>g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decision — no dataset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Straight-line distance (miles) from tract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centroid to store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data/distance/d_tract_store_miles.csv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_efdd2acebb0c42399ff6c6aae261d62e5d18e99"/>
    <w:p>
      <w:pPr>
        <w:pStyle w:val="Heading4"/>
      </w:pPr>
      <w:r>
        <w:t xml:space="preserve">1.1.2 Consumer Groups</w:t>
      </w:r>
    </w:p>
    <w:p>
      <w:pPr>
        <w:pStyle w:val="FirstParagraph"/>
      </w:pPr>
      <w:r>
        <w:t xml:space="preserve">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runs over 45 consumer groups: 15 non-zero-population census tracts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× 3 income groups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Low, Mid, High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 </m:t>
          </m:r>
          <m:r>
            <m:rPr>
              <m:sty m:val="p"/>
            </m:rPr>
            <m:t>≡</m:t>
          </m:r>
          <m:r>
            <m:t> 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 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≡</m:t>
          </m:r>
          <m:sSub>
            <m:e>
              <m:r>
                <m:t>n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HH</m:t>
              </m:r>
            </m:sub>
          </m:sSub>
          <m:r>
            <m:rPr>
              <m:sty m:val="p"/>
            </m:rPr>
            <m:t>=</m:t>
          </m:r>
          <m:r>
            <m:t>19</m:t>
          </m:r>
          <m:r>
            <m:rPr>
              <m:sty m:val="p"/>
            </m:rPr>
            <m:t>,</m:t>
          </m:r>
          <m:r>
            <m:t>922</m:t>
          </m:r>
        </m:oMath>
      </m:oMathPara>
    </w:p>
    <w:p>
      <w:pPr>
        <w:pStyle w:val="FirstParagraph"/>
      </w:pPr>
      <w:r>
        <w:t xml:space="preserve">Distance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  <m:r>
              <m:t>j</m:t>
            </m:r>
          </m:sub>
        </m:sSub>
      </m:oMath>
      <w:r>
        <w:t xml:space="preserve"> </w:t>
      </w:r>
      <w:r>
        <w:t xml:space="preserve">is identical for all three income groups within tract</w:t>
      </w:r>
      <w:r>
        <w:t xml:space="preserve"> </w:t>
      </w:r>
      <m:oMath>
        <m:r>
          <m:t>t</m:t>
        </m:r>
      </m:oMath>
      <w:r>
        <w:t xml:space="preserve">; it varies only across tracts.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3"/>
        <w:gridCol w:w="2394"/>
        <w:gridCol w:w="2578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Value (2024)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Census tract index</w:t>
            </w:r>
          </w:p>
        </w:tc>
        <w:tc>
          <w:tcPr/>
          <w:p>
            <w:pPr>
              <w:pStyle w:val="Compact"/>
            </w:pPr>
            <w:r>
              <w:t xml:space="preserve">15 active tracts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data/geography/bronx_cd2_tract_centroids.csv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Income group</w:t>
            </w:r>
          </w:p>
        </w:tc>
        <w:tc>
          <w:tcPr/>
          <w:p>
            <w:pPr>
              <w:pStyle w:val="Compact"/>
            </w:pPr>
            <w:r>
              <w:t xml:space="preserve">Low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$25K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(</m:t>
              </m:r>
            </m:oMath>
            <w:r>
              <w:t xml:space="preserve">$25$–</w:t>
            </w:r>
            <m:oMath>
              <m:r>
                <m:t>50</m:t>
              </m:r>
              <m:r>
                <m:t>K</m:t>
              </m:r>
            </m:oMath>
            <w:r>
              <w:t xml:space="preserve">), High (</w:t>
            </w:r>
            <m:oMath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$</m:t>
              </m:r>
              <m:r>
                <m:t>50</m:t>
              </m:r>
              <m:r>
                <m:t>K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Households in tract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group</w:t>
            </w:r>
            <w:r>
              <w:t xml:space="preserve"> </w:t>
            </w:r>
            <m:oMath>
              <m:r>
                <m:t>g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data/acs/cd2_B19001_2024.csv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HH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Total CD2 households</w:t>
            </w:r>
          </w:p>
        </w:tc>
        <w:tc>
          <w:tcPr/>
          <w:p>
            <w:pPr>
              <w:pStyle w:val="Compact"/>
            </w:pPr>
            <w:r>
              <w:t xml:space="preserve">19,922 (Low 7,683 · Mid 4,795 · High 7,444)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data/acs/cd2_B19001_2024.csv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_721344859dacfdb4819c01b44c1f390025beee9"/>
    <w:p>
      <w:pPr>
        <w:pStyle w:val="Heading4"/>
      </w:pPr>
      <w:r>
        <w:t xml:space="preserve">1.1.3 Choice Probability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J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Probability that consumer group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chooses store</w:t>
            </w:r>
            <w:r>
              <w:t xml:space="preserve"> </w:t>
            </w:r>
            <m:oMath>
              <m:r>
                <m:t>j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Number of stores in choice set (9 existing; 10 with planned NYC Groceries)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_327fe0c95f092fba49da332e4b4570c6293df31"/>
    <w:p>
      <w:pPr>
        <w:pStyle w:val="Heading4"/>
      </w:pPr>
      <w:r>
        <w:t xml:space="preserve">1.1.4 Aggregate Market Share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HH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CD2-wide market share of store</w:t>
            </w:r>
            <w:r>
              <w:t xml:space="preserve"> </w:t>
            </w:r>
            <m:oMath>
              <m:r>
                <m:t>j</m:t>
              </m:r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_a7cebf7675c7d6203f73871b382357fedd0ceee"/>
    <w:p>
      <w:pPr>
        <w:pStyle w:val="Heading4"/>
      </w:pPr>
      <w:r>
        <w:t xml:space="preserve">1.1.5 Consumer Welfare (Annual Logsum)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ln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J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C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</m:num>
                <m:den>
                  <m:sSub>
                    <m:e>
                      <m:r>
                        <m:t>β</m:t>
                      </m:r>
                    </m:e>
                    <m:sub>
                      <m:r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den>
              </m:f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post</m:t>
                      </m:r>
                    </m:sup>
                  </m:sSubSup>
                </m:e>
              </m:d>
              <m:r>
                <m:t> </m:t>
              </m:r>
              <m:r>
                <m:rPr>
                  <m:sty m:val="p"/>
                </m:rPr>
                <m:t>−</m:t>
              </m:r>
              <m:r>
                <m:t> </m:t>
              </m:r>
              <m:r>
                <m:rPr>
                  <m:sty m:val="p"/>
                </m:rPr>
                <m:t>ln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pre</m:t>
                      </m:r>
                    </m:sup>
                  </m:sSubSup>
                </m:e>
              </m:d>
            </m:e>
          </m:d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860"/>
        <w:gridCol w:w="15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Shopping trips per year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decision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Annual consumer welfare for group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(in utils, scaled by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C</m:t>
              </m:r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Annual change in consumer surplus across all 45 groups ($)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Issue #4 fix:</w:t>
      </w:r>
      <w:r>
        <w:t xml:space="preserve"> </w:t>
      </w:r>
      <w:r>
        <w:t xml:space="preserve">v3 welfare was per trip; multiplying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52</m:t>
        </m:r>
      </m:oMath>
      <w:r>
        <w:t xml:space="preserve"> </w:t>
      </w:r>
      <w:r>
        <w:t xml:space="preserve">converts to annual.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_c355decabef398f2fe24ff7e47716de6f20bdb3"/>
    <w:p>
      <w:pPr>
        <w:pStyle w:val="Heading3"/>
      </w:pPr>
      <w:r>
        <w:t xml:space="preserve">1.2 Store Price and Volume</w:t>
      </w:r>
    </w:p>
    <w:bookmarkStart w:id="16" w:name="_b39377ced882a459d2e01f814279b1bf681f586"/>
    <w:p>
      <w:pPr>
        <w:pStyle w:val="Heading4"/>
      </w:pPr>
      <w:r>
        <w:t xml:space="preserve">1.2.1 Revenue and Basket Volume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g</m:t>
              </m:r>
            </m:sub>
            <m:sup>
              <m:r>
                <m:t>​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r>
            <m:t>52</m:t>
          </m:r>
          <m:r>
            <m:t> </m:t>
          </m:r>
          <m:r>
            <m:rPr>
              <m:sty m:val="p"/>
            </m:rPr>
            <m:t>≈</m:t>
          </m:r>
          <m:r>
            <m:t> </m:t>
          </m:r>
          <m:r>
            <m:rPr>
              <m:sty m:val="p"/>
            </m:rPr>
            <m:t>$</m:t>
          </m:r>
          <m:r>
            <m:t>112.98</m:t>
          </m:r>
          <m:r>
            <m:rPr>
              <m:nor/>
              <m:sty m:val="p"/>
            </m:rPr>
            <m:t>M/yr (2024)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860"/>
        <w:gridCol w:w="15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Annual basket-equivalent volume at store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Annual revenue ($)</w:t>
            </w:r>
          </w:p>
        </w:tc>
        <w:tc>
          <w:tcPr/>
          <w:p>
            <w:pPr>
              <w:pStyle w:val="Compact"/>
            </w:pPr>
            <w:r>
              <w:t xml:space="preserve">see store table below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data/revenue/revenue_j_cd2_candidate_stores.csv</w:t>
            </w:r>
            <w:r>
              <w:t xml:space="preserve"> </w:t>
            </w:r>
            <w:r>
              <w:t xml:space="preserve">(Option A, ReferenceUSA) or</w:t>
            </w:r>
            <w:r>
              <w:t xml:space="preserve"> </w:t>
            </w:r>
            <w:r>
              <w:rPr>
                <w:rStyle w:val="VerbatimChar"/>
              </w:rPr>
              <w:t xml:space="preserve">data/revenue_census_estimate/revenue_j_census_cd2_candidate_stores.csv</w:t>
            </w:r>
            <w:r>
              <w:t xml:space="preserve"> </w:t>
            </w:r>
            <w:r>
              <w:t xml:space="preserve">(Option B, census-based $828.62/sqft/yr) —</w:t>
            </w:r>
            <w:r>
              <w:t xml:space="preserve"> </w:t>
            </w:r>
            <w:r>
              <w:rPr>
                <w:b/>
                <w:bCs/>
              </w:rPr>
              <w:t xml:space="preserve">design decision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Basket price ($/basket)</w:t>
            </w:r>
          </w:p>
        </w:tc>
        <w:tc>
          <w:tcPr/>
          <w:p>
            <w:pPr>
              <w:pStyle w:val="Compact"/>
            </w:pPr>
            <w:r>
              <w:t xml:space="preserve">$27.76–$30.32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data/prices/p_j_cd2_candidate_stores.csv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Average weekly food-at-home expenditure, income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(NYC-scaled, Northeast CES)</w:t>
            </w:r>
          </w:p>
        </w:tc>
        <w:tc>
          <w:tcPr/>
          <w:p>
            <w:pPr>
              <w:pStyle w:val="Compact"/>
            </w:pPr>
            <w:r>
              <w:t xml:space="preserve">Low $81.64 · Mid $94.17 · High $146.94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data/bls/ces_fbar_by_income_group_northeast_cd2weighted.csv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Total households in income group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(all tracts)</w:t>
            </w:r>
          </w:p>
        </w:tc>
        <w:tc>
          <w:tcPr/>
          <w:p>
            <w:pPr>
              <w:pStyle w:val="Compact"/>
            </w:pPr>
            <w:r>
              <w:t xml:space="preserve">Low 7,683 · Mid 4,795 · High 7,444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data/acs/cd2_B19001_2024.csv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Annual CD2 grocery market size</w:t>
            </w:r>
          </w:p>
        </w:tc>
        <w:tc>
          <w:tcPr/>
          <w:p>
            <w:pPr>
              <w:pStyle w:val="Compact"/>
            </w:pPr>
            <w:r>
              <w:t xml:space="preserve">$112.98M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data/bls/cd2_market_size_M_northeast_cd2weighted.csv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Store-level data table (2024 vintage):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0"/>
        <w:gridCol w:w="990"/>
        <w:gridCol w:w="660"/>
        <w:gridCol w:w="990"/>
        <w:gridCol w:w="1320"/>
        <w:gridCol w:w="132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sqft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($/basket)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— ReferenceUSA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— Census-based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Tax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Rent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Food</w:t>
            </w:r>
          </w:p>
        </w:tc>
        <w:tc>
          <w:tcPr/>
          <w:p>
            <w:pPr>
              <w:pStyle w:val="Compact"/>
            </w:pPr>
            <w:r>
              <w:t xml:space="preserve">1050 Westchester Ave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$27.76</w:t>
            </w:r>
          </w:p>
        </w:tc>
        <w:tc>
          <w:tcPr/>
          <w:p>
            <w:pPr>
              <w:pStyle w:val="Compact"/>
            </w:pPr>
            <w:r>
              <w:t xml:space="preserve">$8,032,000</w:t>
            </w:r>
          </w:p>
        </w:tc>
        <w:tc>
          <w:tcPr/>
          <w:p>
            <w:pPr>
              <w:pStyle w:val="Compact"/>
            </w:pPr>
            <w:r>
              <w:t xml:space="preserve">$12,430,000</w:t>
            </w:r>
          </w:p>
        </w:tc>
        <w:tc>
          <w:tcPr/>
          <w:p>
            <w:pPr>
              <w:pStyle w:val="Compact"/>
            </w:pPr>
            <w:r>
              <w:t xml:space="preserve">$105,311</w:t>
            </w:r>
          </w:p>
        </w:tc>
        <w:tc>
          <w:tcPr/>
          <w:p>
            <w:pPr>
              <w:pStyle w:val="Compact"/>
            </w:pPr>
            <w:r>
              <w:t xml:space="preserve">$276,450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Fair Fresh Market</w:t>
            </w:r>
          </w:p>
        </w:tc>
        <w:tc>
          <w:tcPr/>
          <w:p>
            <w:pPr>
              <w:pStyle w:val="Compact"/>
            </w:pPr>
            <w:r>
              <w:t xml:space="preserve">1065 E 163rd St</w:t>
            </w:r>
          </w:p>
        </w:tc>
        <w:tc>
          <w:tcPr/>
          <w:p>
            <w:pPr>
              <w:pStyle w:val="Compact"/>
            </w:pPr>
            <w:r>
              <w:t xml:space="preserve">13,000</w:t>
            </w:r>
          </w:p>
        </w:tc>
        <w:tc>
          <w:tcPr/>
          <w:p>
            <w:pPr>
              <w:pStyle w:val="Compact"/>
            </w:pPr>
            <w:r>
              <w:t xml:space="preserve">$28.95</w:t>
            </w:r>
          </w:p>
        </w:tc>
        <w:tc>
          <w:tcPr/>
          <w:p>
            <w:pPr>
              <w:pStyle w:val="Compact"/>
            </w:pPr>
            <w:r>
              <w:t xml:space="preserve">$8,032,000</w:t>
            </w:r>
          </w:p>
        </w:tc>
        <w:tc>
          <w:tcPr/>
          <w:p>
            <w:pPr>
              <w:pStyle w:val="Compact"/>
            </w:pPr>
            <w:r>
              <w:t xml:space="preserve">$10,771,000</w:t>
            </w:r>
          </w:p>
        </w:tc>
        <w:tc>
          <w:tcPr/>
          <w:p>
            <w:pPr>
              <w:pStyle w:val="Compact"/>
            </w:pPr>
            <w:r>
              <w:t xml:space="preserve">$409,408</w:t>
            </w:r>
          </w:p>
        </w:tc>
        <w:tc>
          <w:tcPr/>
          <w:p>
            <w:pPr>
              <w:pStyle w:val="Compact"/>
            </w:pPr>
            <w:r>
              <w:t xml:space="preserve">$239,590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 Fare Supermarket</w:t>
            </w:r>
          </w:p>
        </w:tc>
        <w:tc>
          <w:tcPr/>
          <w:p>
            <w:pPr>
              <w:pStyle w:val="Compact"/>
            </w:pPr>
            <w:r>
              <w:t xml:space="preserve">950 Westchester Ave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$30.32</w:t>
            </w:r>
          </w:p>
        </w:tc>
        <w:tc>
          <w:tcPr/>
          <w:p>
            <w:pPr>
              <w:pStyle w:val="Compact"/>
            </w:pPr>
            <w:r>
              <w:t xml:space="preserve">$618,000</w:t>
            </w:r>
          </w:p>
        </w:tc>
        <w:tc>
          <w:tcPr/>
          <w:p>
            <w:pPr>
              <w:pStyle w:val="Compact"/>
            </w:pPr>
            <w:r>
              <w:t xml:space="preserve">$8,286,000</w:t>
            </w:r>
          </w:p>
        </w:tc>
        <w:tc>
          <w:tcPr/>
          <w:p>
            <w:pPr>
              <w:pStyle w:val="Compact"/>
            </w:pPr>
            <w:r>
              <w:t xml:space="preserve">$15,711</w:t>
            </w:r>
          </w:p>
        </w:tc>
        <w:tc>
          <w:tcPr/>
          <w:p>
            <w:pPr>
              <w:pStyle w:val="Compact"/>
            </w:pPr>
            <w:r>
              <w:t xml:space="preserve">$184,300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C-Town Supermarket</w:t>
            </w:r>
          </w:p>
        </w:tc>
        <w:tc>
          <w:tcPr/>
          <w:p>
            <w:pPr>
              <w:pStyle w:val="Compact"/>
            </w:pPr>
            <w:r>
              <w:t xml:space="preserve">564 Southern Blvd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$28.82</w:t>
            </w:r>
          </w:p>
        </w:tc>
        <w:tc>
          <w:tcPr/>
          <w:p>
            <w:pPr>
              <w:pStyle w:val="Compact"/>
            </w:pPr>
            <w:r>
              <w:t xml:space="preserve">$2,884,000</w:t>
            </w:r>
          </w:p>
        </w:tc>
        <w:tc>
          <w:tcPr/>
          <w:p>
            <w:pPr>
              <w:pStyle w:val="Compact"/>
            </w:pPr>
            <w:r>
              <w:t xml:space="preserve">$6,629,000</w:t>
            </w:r>
          </w:p>
        </w:tc>
        <w:tc>
          <w:tcPr/>
          <w:p>
            <w:pPr>
              <w:pStyle w:val="Compact"/>
            </w:pPr>
            <w:r>
              <w:t xml:space="preserve">$24,691</w:t>
            </w:r>
          </w:p>
        </w:tc>
        <w:tc>
          <w:tcPr/>
          <w:p>
            <w:pPr>
              <w:pStyle w:val="Compact"/>
            </w:pPr>
            <w:r>
              <w:t xml:space="preserve">$147,440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Universe</w:t>
            </w:r>
          </w:p>
        </w:tc>
        <w:tc>
          <w:tcPr/>
          <w:p>
            <w:pPr>
              <w:pStyle w:val="Compact"/>
            </w:pPr>
            <w:r>
              <w:t xml:space="preserve">724 Hunts Pt Ave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$29.93</w:t>
            </w:r>
          </w:p>
        </w:tc>
        <w:tc>
          <w:tcPr/>
          <w:p>
            <w:pPr>
              <w:pStyle w:val="Compact"/>
            </w:pPr>
            <w:r>
              <w:t xml:space="preserve">$2,884,000</w:t>
            </w:r>
          </w:p>
        </w:tc>
        <w:tc>
          <w:tcPr/>
          <w:p>
            <w:pPr>
              <w:pStyle w:val="Compact"/>
            </w:pPr>
            <w:r>
              <w:t xml:space="preserve">$6,629,000</w:t>
            </w:r>
          </w:p>
        </w:tc>
        <w:tc>
          <w:tcPr/>
          <w:p>
            <w:pPr>
              <w:pStyle w:val="Compact"/>
            </w:pPr>
            <w:r>
              <w:t xml:space="preserve">$49,764</w:t>
            </w:r>
          </w:p>
        </w:tc>
        <w:tc>
          <w:tcPr/>
          <w:p>
            <w:pPr>
              <w:pStyle w:val="Compact"/>
            </w:pPr>
            <w:r>
              <w:t xml:space="preserve">$153,200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Town Supermarket</w:t>
            </w:r>
          </w:p>
        </w:tc>
        <w:tc>
          <w:tcPr/>
          <w:p>
            <w:pPr>
              <w:pStyle w:val="Compact"/>
            </w:pPr>
            <w:r>
              <w:t xml:space="preserve">809 Southern Blvd</w:t>
            </w:r>
          </w:p>
        </w:tc>
        <w:tc>
          <w:tcPr/>
          <w:p>
            <w:pPr>
              <w:pStyle w:val="Compact"/>
            </w:pPr>
            <w:r>
              <w:t xml:space="preserve">7,500</w:t>
            </w:r>
          </w:p>
        </w:tc>
        <w:tc>
          <w:tcPr/>
          <w:p>
            <w:pPr>
              <w:pStyle w:val="Compact"/>
            </w:pPr>
            <w:r>
              <w:t xml:space="preserve">$28.82</w:t>
            </w:r>
          </w:p>
        </w:tc>
        <w:tc>
          <w:tcPr/>
          <w:p>
            <w:pPr>
              <w:pStyle w:val="Compact"/>
            </w:pPr>
            <w:r>
              <w:t xml:space="preserve">$3,090,000</w:t>
            </w:r>
          </w:p>
        </w:tc>
        <w:tc>
          <w:tcPr/>
          <w:p>
            <w:pPr>
              <w:pStyle w:val="Compact"/>
            </w:pPr>
            <w:r>
              <w:t xml:space="preserve">$6,215,000</w:t>
            </w:r>
          </w:p>
        </w:tc>
        <w:tc>
          <w:tcPr/>
          <w:p>
            <w:pPr>
              <w:pStyle w:val="Compact"/>
            </w:pPr>
            <w:r>
              <w:t xml:space="preserve">$47,269</w:t>
            </w:r>
          </w:p>
        </w:tc>
        <w:tc>
          <w:tcPr/>
          <w:p>
            <w:pPr>
              <w:pStyle w:val="Compact"/>
            </w:pPr>
            <w:r>
              <w:t xml:space="preserve">$129,900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JJ Southern Farm Fruit</w:t>
            </w:r>
          </w:p>
        </w:tc>
        <w:tc>
          <w:tcPr/>
          <w:p>
            <w:pPr>
              <w:pStyle w:val="Compact"/>
            </w:pPr>
            <w:r>
              <w:t xml:space="preserve">1046 Southern Blvd</w:t>
            </w:r>
          </w:p>
        </w:tc>
        <w:tc>
          <w:tcPr/>
          <w:p>
            <w:pPr>
              <w:pStyle w:val="Compact"/>
            </w:pPr>
            <w:r>
              <w:t xml:space="preserve">1,600</w:t>
            </w:r>
          </w:p>
        </w:tc>
        <w:tc>
          <w:tcPr/>
          <w:p>
            <w:pPr>
              <w:pStyle w:val="Compact"/>
            </w:pPr>
            <w:r>
              <w:t xml:space="preserve">$28.95</w:t>
            </w:r>
          </w:p>
        </w:tc>
        <w:tc>
          <w:tcPr/>
          <w:p>
            <w:pPr>
              <w:pStyle w:val="Compact"/>
            </w:pPr>
            <w:r>
              <w:t xml:space="preserve">$577,000</w:t>
            </w:r>
          </w:p>
        </w:tc>
        <w:tc>
          <w:tcPr/>
          <w:p>
            <w:pPr>
              <w:pStyle w:val="Compact"/>
            </w:pPr>
            <w:r>
              <w:t xml:space="preserve">$1,326,000</w:t>
            </w:r>
          </w:p>
        </w:tc>
        <w:tc>
          <w:tcPr/>
          <w:p>
            <w:pPr>
              <w:pStyle w:val="Compact"/>
            </w:pPr>
            <w:r>
              <w:t xml:space="preserve">$17,155</w:t>
            </w:r>
          </w:p>
        </w:tc>
        <w:tc>
          <w:tcPr/>
          <w:p>
            <w:pPr>
              <w:pStyle w:val="Compact"/>
            </w:pPr>
            <w:r>
              <w:t xml:space="preserve">$69,008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Antillana Fresh Meat Market</w:t>
            </w:r>
          </w:p>
        </w:tc>
        <w:tc>
          <w:tcPr/>
          <w:p>
            <w:pPr>
              <w:pStyle w:val="Compact"/>
            </w:pPr>
            <w:r>
              <w:t xml:space="preserve">1025 Westchester Ave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t xml:space="preserve">$28.95</w:t>
            </w:r>
          </w:p>
        </w:tc>
        <w:tc>
          <w:tcPr/>
          <w:p>
            <w:pPr>
              <w:pStyle w:val="Compact"/>
            </w:pPr>
            <w:r>
              <w:t xml:space="preserve">$824,000</w:t>
            </w:r>
          </w:p>
        </w:tc>
        <w:tc>
          <w:tcPr/>
          <w:p>
            <w:pPr>
              <w:pStyle w:val="Compact"/>
            </w:pPr>
            <w:r>
              <w:t xml:space="preserve">$2,486,000</w:t>
            </w:r>
          </w:p>
        </w:tc>
        <w:tc>
          <w:tcPr/>
          <w:p>
            <w:pPr>
              <w:pStyle w:val="Compact"/>
            </w:pPr>
            <w:r>
              <w:t xml:space="preserve">$12,036</w:t>
            </w:r>
          </w:p>
        </w:tc>
        <w:tc>
          <w:tcPr/>
          <w:p>
            <w:pPr>
              <w:pStyle w:val="Compact"/>
            </w:pPr>
            <w:r>
              <w:t xml:space="preserve">$68,520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Sagal Meat Market</w:t>
            </w:r>
          </w:p>
        </w:tc>
        <w:tc>
          <w:tcPr/>
          <w:p>
            <w:pPr>
              <w:pStyle w:val="Compact"/>
            </w:pPr>
            <w:r>
              <w:t xml:space="preserve">1091 Southern Blvd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t xml:space="preserve">$28.95</w:t>
            </w:r>
          </w:p>
        </w:tc>
        <w:tc>
          <w:tcPr/>
          <w:p>
            <w:pPr>
              <w:pStyle w:val="Compact"/>
            </w:pPr>
            <w:r>
              <w:t xml:space="preserve">$299,000</w:t>
            </w:r>
          </w:p>
        </w:tc>
        <w:tc>
          <w:tcPr/>
          <w:p>
            <w:pPr>
              <w:pStyle w:val="Compact"/>
            </w:pPr>
            <w:r>
              <w:t xml:space="preserve">$2,072,000</w:t>
            </w:r>
          </w:p>
        </w:tc>
        <w:tc>
          <w:tcPr/>
          <w:p>
            <w:pPr>
              <w:pStyle w:val="Compact"/>
            </w:pPr>
            <w:r>
              <w:t xml:space="preserve">$9,067</w:t>
            </w:r>
          </w:p>
        </w:tc>
        <w:tc>
          <w:tcPr/>
          <w:p>
            <w:pPr>
              <w:pStyle w:val="Compact"/>
            </w:pPr>
            <w:r>
              <w:t xml:space="preserve">$66,800</w:t>
            </w:r>
          </w:p>
        </w:tc>
      </w:tr>
    </w:tbl>
    <w:p>
      <w:pPr>
        <w:pStyle w:val="BlockText"/>
      </w:pPr>
      <w:r>
        <w:t xml:space="preserve">Census-based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sqft</m:t>
            </m:r>
          </m:e>
          <m:sub>
            <m:r>
              <m:t>j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$</m:t>
        </m:r>
        <m:r>
          <m:t>828.62</m:t>
        </m:r>
      </m:oMath>
      <w:r>
        <w:t xml:space="preserve">/sqft/yr (Bronx NAICS 4451 central estimate).</w:t>
      </w:r>
      <w:r>
        <w:br/>
      </w:r>
      <w:r>
        <w:t xml:space="preserve">Tax and Rent sources:</w:t>
      </w:r>
      <w:r>
        <w:t xml:space="preserve"> </w:t>
      </w:r>
      <w:r>
        <w:rPr>
          <w:rStyle w:val="VerbatimChar"/>
        </w:rPr>
        <w:t xml:space="preserve">data/tax/tax_j_cd2_candidate_stores.csv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data/rent/rent_j_cd2_candidate_stores.csv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_7e27efd4bb09fd503016503230fa1a3df936c1b"/>
    <w:p>
      <w:pPr>
        <w:pStyle w:val="Heading3"/>
      </w:pPr>
      <w:r>
        <w:t xml:space="preserve">1.3 Subsidy Pass-Through — Two Model Versions</w:t>
      </w:r>
    </w:p>
    <w:bookmarkStart w:id="18" w:name="_816d4d720a3762fcbe901e7397c24181d708d90"/>
    <w:p>
      <w:pPr>
        <w:pStyle w:val="Heading4"/>
      </w:pPr>
      <w:r>
        <w:t xml:space="preserve">1.3.1 — v1: Lump-sum Subsidy, Variable Pass-Through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s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post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pre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550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Annual lump-sum subsidy instrument ($)</w:t>
            </w:r>
          </w:p>
        </w:tc>
        <w:tc>
          <w:tcPr/>
          <w:p>
            <w:pPr>
              <w:pStyle w:val="Compact"/>
            </w:pPr>
            <w:r>
              <w:t xml:space="preserve">e.g.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Tax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(tax break) or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σ</m:t>
              </m:r>
            </m:oMath>
            <w:r>
              <w:t xml:space="preserve"> </w:t>
            </w:r>
            <w:r>
              <w:t xml:space="preserve">(direct rent subsidy)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Pass-through rate: fraction of instrument that reduces shelf price</w:t>
            </w:r>
          </w:p>
        </w:tc>
        <w:tc>
          <w:tcPr/>
          <w:p>
            <w:pPr>
              <w:pStyle w:val="Compact"/>
            </w:pPr>
            <w:r>
              <w:t xml:space="preserve">{0.40, 0.65, 0.85} — three sensitivity runs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Annual basket volume at store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</w:pPr>
            <w:r>
              <w:t xml:space="preserve">from §1.2.1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Reduction in basket price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_07cc380fbea837bd43c25201d09d3f7e13c3c37"/>
    <w:p>
      <w:pPr>
        <w:pStyle w:val="Heading4"/>
      </w:pPr>
      <w:r>
        <w:t xml:space="preserve">1.3.2 — v2: NYC Groceries Contract (30% Core Basket Discount)</w:t>
      </w:r>
    </w:p>
    <w:p>
      <w:pPr>
        <w:pStyle w:val="FirstParagraph"/>
      </w:pPr>
      <w:r>
        <w:t xml:space="preserve">Core basket share</w:t>
      </w:r>
      <w:r>
        <w:t xml:space="preserve"> </w:t>
      </w:r>
      <m:oMath>
        <m:sSub>
          <m:e>
            <m:r>
              <m:t>κ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applied per income group (base version; see sensitivity below).</w:t>
      </w:r>
    </w:p>
    <w:p>
      <w:pPr>
        <w:pStyle w:val="BodyText"/>
      </w:pPr>
      <w:r>
        <w:rPr>
          <w:b/>
          <w:bCs/>
        </w:rPr>
        <w:t xml:space="preserve">Price reduction entering the utility function: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r>
            <m:t>0.30</m:t>
          </m:r>
          <m:r>
            <m:rPr>
              <m:sty m:val="p"/>
            </m:rPr>
            <m:t>⋅</m:t>
          </m:r>
          <m:sSub>
            <m:e>
              <m:r>
                <m:t>κ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post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pre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⋅</m:t>
          </m:r>
          <m:r>
            <m:t>0.30</m:t>
          </m:r>
          <m:r>
            <m:rPr>
              <m:sty m:val="p"/>
            </m:rPr>
            <m:t>⋅</m:t>
          </m:r>
          <m:sSub>
            <m:e>
              <m:r>
                <m:t>κ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Each income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tract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experiences a different effective price cut because</w:t>
      </w:r>
      <w:r>
        <w:t xml:space="preserve"> </w:t>
      </w:r>
      <m:oMath>
        <m:sSub>
          <m:e>
            <m:r>
              <m:t>κ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varies by income.</w:t>
      </w:r>
    </w:p>
    <w:p>
      <w:pPr>
        <w:pStyle w:val="BodyText"/>
      </w:pPr>
      <w:r>
        <w:rPr>
          <w:b/>
          <w:bCs/>
        </w:rPr>
        <w:t xml:space="preserve">Revenue cost of the 30% discount:</w:t>
      </w:r>
    </w:p>
    <w:p>
      <w:pPr>
        <w:pStyle w:val="BodyText"/>
      </w:pPr>
      <w:r>
        <w:t xml:space="preserve">The store-level demand-weighted core basket share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κ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κ</m:t>
                  </m:r>
                </m:e>
                <m:sub>
                  <m:r>
                    <m:t>g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Gross discount cost</m:t>
          </m:r>
          <m:r>
            <m:rPr>
              <m:sty m:val="p"/>
            </m:rPr>
            <m:t>=</m:t>
          </m:r>
          <m:r>
            <m:t>0.30</m:t>
          </m:r>
          <m:r>
            <m:rPr>
              <m:sty m:val="p"/>
            </m:rPr>
            <m:t>⋅</m:t>
          </m:r>
          <m:sSub>
            <m:e>
              <m:r>
                <m:t>κ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Affordability Payment and total subsidy cost:</w:t>
      </w:r>
    </w:p>
    <w:p>
      <w:pPr>
        <w:pStyle w:val="BodyText"/>
      </w:pPr>
      <w:r>
        <w:t xml:space="preserve">NYCEDC covers</w:t>
      </w:r>
      <w:r>
        <w:t xml:space="preserve"> </w:t>
      </w:r>
      <m:oMath>
        <m:sSub>
          <m:e>
            <m:r>
              <m:rPr>
                <m:nor/>
                <m:sty m:val="p"/>
              </m:rPr>
              <m:t>Rent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Tax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directly (store does not pay these). If the gross discount cost exceeds rent plus tax relief, NYCEDC pays an additional Affordability Payment: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0.30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κ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−</m:t>
              </m:r>
              <m:r>
                <m:t> </m:t>
              </m:r>
              <m:sSub>
                <m:e>
                  <m:r>
                    <m:rPr>
                      <m:nor/>
                      <m:sty m:val="p"/>
                    </m:rPr>
                    <m:t>Rent</m:t>
                  </m:r>
                </m:e>
                <m:sub>
                  <m:r>
                    <m:t>j</m:t>
                  </m:r>
                </m:sub>
              </m:sSub>
              <m:r>
                <m:t> </m:t>
              </m:r>
              <m:r>
                <m:rPr>
                  <m:sty m:val="p"/>
                </m:rPr>
                <m:t>−</m:t>
              </m:r>
              <m:r>
                <m:t> </m:t>
              </m:r>
              <m:sSub>
                <m:e>
                  <m:r>
                    <m:rPr>
                      <m:nor/>
                      <m:sty m:val="p"/>
                    </m:rPr>
                    <m:t>Tax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Total annual subsidy cost to NYCEDC: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Rent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Tax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AP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Rent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Tax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0.30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κ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860"/>
        <w:gridCol w:w="15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Core basket share by income group</w:t>
            </w:r>
          </w:p>
        </w:tc>
        <w:tc>
          <w:tcPr/>
          <w:p>
            <w:pPr>
              <w:pStyle w:val="Compact"/>
            </w:pPr>
            <w:r>
              <w:t xml:space="preserve">Low 0.6247 · Mid 0.6218 · High 0.6059 (base, 2024)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data/bls/kappa_core_basket_share_northeast_cd2weighted.csv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Demand-weighted store-level core basket share</w:t>
            </w:r>
          </w:p>
        </w:tc>
        <w:tc>
          <w:tcPr/>
          <w:p>
            <w:pPr>
              <w:pStyle w:val="Compact"/>
            </w:pPr>
            <w:r>
              <w:t xml:space="preserve">derived from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AP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Affordability Payment: subsidy over and above rent+tax coverage ($)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s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Total annual NYCEDC cost per store ($)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Rent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Annual rent ($)</w:t>
            </w:r>
          </w:p>
        </w:tc>
        <w:tc>
          <w:tcPr/>
          <w:p>
            <w:pPr>
              <w:pStyle w:val="Compact"/>
            </w:pPr>
            <w:r>
              <w:t xml:space="preserve">$66,800–$276,450 (central estimate)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data/rent/rent_j_cd2_candidate_stores.csv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Tax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Annual property tax, store share ($)</w:t>
            </w:r>
          </w:p>
        </w:tc>
        <w:tc>
          <w:tcPr/>
          <w:p>
            <w:pPr>
              <w:pStyle w:val="Compact"/>
            </w:pPr>
            <w:r>
              <w:t xml:space="preserve">$9,067–$409,408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data/tax/tax_j_cd2_candidate_stores.csv</w:t>
            </w:r>
          </w:p>
        </w:tc>
      </w:tr>
    </w:tbl>
    <w:p>
      <w:pPr>
        <w:pStyle w:val="FirstParagraph"/>
      </w:pPr>
      <m:oMath>
        <m:r>
          <m:t>κ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sensitivity (base run primary; low/high as bounds):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Income group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rPr>
                      <m:nor/>
                      <m:sty m:val="p"/>
                    </m:rPr>
                    <m:t>low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rPr>
                      <m:nor/>
                      <m:sty m:val="p"/>
                    </m:rPr>
                    <m:t>high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$25K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0.4026</m:t>
              </m:r>
              <m:r>
                <m:rPr>
                  <m:sty m:val="p"/>
                </m:rPr>
                <m:t>|</m:t>
              </m:r>
              <m:r>
                <m:t>0.6247</m:t>
              </m:r>
              <m:r>
                <m:rPr>
                  <m:sty m:val="p"/>
                </m:rPr>
                <m:t>|</m:t>
              </m:r>
              <m:r>
                <m:t>0.8468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M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(</m:t>
              </m:r>
            </m:oMath>
            <w:r>
              <w:t xml:space="preserve">$25$–</w:t>
            </w:r>
            <m:oMath>
              <m:r>
                <m:t>50</m:t>
              </m:r>
              <m:r>
                <m:t>K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0.3957</w:t>
            </w:r>
          </w:p>
        </w:tc>
        <w:tc>
          <w:tcPr/>
          <w:p>
            <w:pPr>
              <w:pStyle w:val="Compact"/>
            </w:pPr>
            <w:r>
              <w:t xml:space="preserve">0.6218</w:t>
            </w:r>
          </w:p>
        </w:tc>
        <w:tc>
          <w:tcPr/>
          <w:p>
            <w:pPr>
              <w:pStyle w:val="Compact"/>
            </w:pPr>
            <w:r>
              <w:t xml:space="preserve">0.8480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</w:t>
            </w:r>
            <m:oMath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$</m:t>
              </m:r>
              <m:r>
                <m:t>50</m:t>
              </m:r>
              <m:r>
                <m:t>K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0.3681</w:t>
            </w:r>
          </w:p>
        </w:tc>
        <w:tc>
          <w:tcPr/>
          <w:p>
            <w:pPr>
              <w:pStyle w:val="Compact"/>
            </w:pPr>
            <w:r>
              <w:t xml:space="preserve">0.6059</w:t>
            </w:r>
          </w:p>
        </w:tc>
        <w:tc>
          <w:tcPr/>
          <w:p>
            <w:pPr>
              <w:pStyle w:val="Compact"/>
            </w:pPr>
            <w:r>
              <w:t xml:space="preserve">0.8437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CD2 overall</w:t>
            </w:r>
          </w:p>
        </w:tc>
        <w:tc>
          <w:tcPr/>
          <w:p>
            <w:pPr>
              <w:pStyle w:val="Compact"/>
            </w:pPr>
            <w:r>
              <w:t xml:space="preserve">0.3838</w:t>
            </w:r>
          </w:p>
        </w:tc>
        <w:tc>
          <w:tcPr/>
          <w:p>
            <w:pPr>
              <w:pStyle w:val="Compact"/>
            </w:pPr>
            <w:r>
              <w:t xml:space="preserve">0.6146</w:t>
            </w:r>
          </w:p>
        </w:tc>
        <w:tc>
          <w:tcPr/>
          <w:p>
            <w:pPr>
              <w:pStyle w:val="Compact"/>
            </w:pPr>
            <w:r>
              <w:t xml:space="preserve">0.8455</w:t>
            </w:r>
          </w:p>
        </w:tc>
      </w:tr>
    </w:tbl>
    <w:p>
      <w:pPr>
        <w:pStyle w:val="FirstParagraph"/>
      </w:pPr>
      <w:r>
        <w:t xml:space="preserve">The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version controls which grocery sub-categories count as</w:t>
      </w:r>
      <w:r>
        <w:t xml:space="preserve"> </w:t>
      </w:r>
      <w:r>
        <w:t xml:space="preserve">“core basket”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low</w:t>
      </w:r>
      <w:r>
        <w:t xml:space="preserve">: only unambiguous staples (meat, dairy, produce, grains — RFP-clear items)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base</w:t>
      </w:r>
      <w:r>
        <w:t xml:space="preserve">:</w:t>
      </w:r>
      <w:r>
        <w:t xml:space="preserve"> </w:t>
      </w:r>
      <w:r>
        <w:t xml:space="preserve">“partly in”</w:t>
      </w:r>
      <w:r>
        <w:t xml:space="preserve"> </w:t>
      </w:r>
      <w:r>
        <w:t xml:space="preserve">categories (frozen foods, snacks, condiments) weighted 0.5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high</w:t>
      </w:r>
      <w:r>
        <w:t xml:space="preserve">: all</w:t>
      </w:r>
      <w:r>
        <w:t xml:space="preserve"> </w:t>
      </w:r>
      <w:r>
        <w:t xml:space="preserve">“partly in”</w:t>
      </w:r>
      <w:r>
        <w:t xml:space="preserve"> </w:t>
      </w:r>
      <w:r>
        <w:t xml:space="preserve">items at full weight</w:t>
      </w:r>
    </w:p>
    <w:p>
      <w:pPr>
        <w:pStyle w:val="BodyText"/>
      </w:pPr>
      <w:r>
        <w:t xml:space="preserve">Sensitivity output table (populated when model runs):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950"/>
        <w:gridCol w:w="950"/>
        <w:gridCol w:w="950"/>
        <w:gridCol w:w="950"/>
        <w:gridCol w:w="950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AP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κ</m:t>
                  </m:r>
                </m:e>
                <m:sub>
                  <m:r>
                    <m:rPr>
                      <m:nor/>
                      <m:sty m:val="p"/>
                    </m:rPr>
                    <m:t>low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AP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κ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AP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κ</m:t>
                  </m:r>
                </m:e>
                <m:sub>
                  <m:r>
                    <m:rPr>
                      <m:nor/>
                      <m:sty m:val="p"/>
                    </m:rPr>
                    <m:t>high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C</m:t>
              </m:r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κ</m:t>
                  </m:r>
                </m:e>
                <m:sub>
                  <m:r>
                    <m:rPr>
                      <m:nor/>
                      <m:sty m:val="p"/>
                    </m:rPr>
                    <m:t>low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C</m:t>
              </m:r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κ</m:t>
                  </m:r>
                </m:e>
                <m:sub>
                  <m:r>
                    <m:rPr>
                      <m:nor/>
                      <m:sty m:val="p"/>
                    </m:rPr>
                    <m:t>base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C</m:t>
              </m:r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t>κ</m:t>
                  </m:r>
                </m:e>
                <m:sub>
                  <m:r>
                    <m:rPr>
                      <m:nor/>
                      <m:sty m:val="p"/>
                    </m:rPr>
                    <m:t>high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Food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Fair Fresh Market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 Fare Supermarket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C-Town (564)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Universe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C-Town (809)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JJ Southern Farm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Antillana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_0fedac8c6a31d72d64634956448646c35c46356"/>
    <w:p>
      <w:pPr>
        <w:pStyle w:val="Heading3"/>
      </w:pPr>
      <w:r>
        <w:t xml:space="preserve">1.4 Welfare Update Steps</w:t>
      </w:r>
    </w:p>
    <w:p>
      <w:pPr>
        <w:pStyle w:val="FirstParagraph"/>
      </w:pPr>
      <w:r>
        <w:t xml:space="preserve">Applies identically to v1 and v2.</w:t>
      </w:r>
    </w:p>
    <w:p>
      <w:pPr>
        <w:pStyle w:val="BodyText"/>
      </w:pPr>
      <w:r>
        <w:rPr>
          <w:b/>
          <w:bCs/>
        </w:rPr>
        <w:t xml:space="preserve">Step A — Pre-subsidy utility (baseline):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pre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sqft</m:t>
              </m:r>
            </m:sub>
          </m:sSub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sqft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d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d</m:t>
              </m:r>
            </m:e>
            <m:sub>
              <m:r>
                <m:t>t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B — Post-subsidy utility: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post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nor/>
                  <m:sty m:val="p"/>
                </m:rPr>
                <m:t>pre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j</m:t>
              </m:r>
              <m:r>
                <m:rPr>
                  <m:sty m:val="p"/>
                </m:rPr>
                <m:t>,</m:t>
              </m:r>
              <m:r>
                <m:t>g</m:t>
              </m:r>
            </m:sub>
          </m:sSub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t xml:space="preserve"> </w:t>
      </w:r>
      <w:r>
        <w:t xml:space="preserve">is from §1.3.1 (v1) or §1.3.2 (v2).</w:t>
      </w:r>
    </w:p>
    <w:p>
      <w:pPr>
        <w:pStyle w:val="BodyText"/>
      </w:pPr>
      <w:r>
        <w:rPr>
          <w:b/>
          <w:bCs/>
        </w:rPr>
        <w:t xml:space="preserve">Step C — Logsum welfare by group: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pre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​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J</m:t>
              </m:r>
            </m:sup>
            <m:e>
              <m:r>
                <m:rPr>
                  <m:sty m:val="p"/>
                </m:rPr>
                <m:t>exp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  <m:sup>
                  <m:r>
                    <m:rPr>
                      <m:nor/>
                      <m:sty m:val="p"/>
                    </m:rPr>
                    <m:t>pre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L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post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​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J</m:t>
              </m:r>
            </m:sup>
            <m:e>
              <m:r>
                <m:rPr>
                  <m:sty m:val="p"/>
                </m:rPr>
                <m:t>exp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  <m:sup>
                  <m:r>
                    <m:rPr>
                      <m:nor/>
                      <m:sty m:val="p"/>
                    </m:rPr>
                    <m:t>post</m:t>
                  </m:r>
                </m:sup>
              </m:sSubSup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Step D — Annual consumer surplus change: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C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45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</m:num>
                <m:den>
                  <m:sSub>
                    <m:e>
                      <m:r>
                        <m:t>β</m:t>
                      </m:r>
                    </m:e>
                    <m:sub>
                      <m:r>
                        <m:t>p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den>
              </m:f>
            </m:e>
          </m:nary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post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pre</m:t>
                  </m:r>
                </m:sup>
              </m:sSubSup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2" w:name="_63926e905fba31d0395b19b345742f58813a7c8"/>
    <w:p>
      <w:pPr>
        <w:pStyle w:val="Heading3"/>
      </w:pPr>
      <w:r>
        <w:t xml:space="preserve">1.5 Optimization and Store Ranking</w:t>
      </w:r>
    </w:p>
    <w:p>
      <w:pPr>
        <w:pStyle w:val="FirstParagraph"/>
      </w:pPr>
      <w:r>
        <w:rPr>
          <w:b/>
          <w:bCs/>
        </w:rPr>
        <w:t xml:space="preserve">Store selection (9 existing stores):</w:t>
      </w:r>
    </w:p>
    <w:p>
      <w:pPr>
        <w:pStyle w:val="BodyText"/>
      </w:pPr>
      <w:r>
        <w:t xml:space="preserve">For v1, find</w:t>
      </w:r>
      <w:r>
        <w:t xml:space="preserve"> </w:t>
      </w:r>
      <m:oMath>
        <m:sSubSup>
          <m:e>
            <m:r>
              <m:t>s</m:t>
            </m:r>
          </m:e>
          <m:sub>
            <m:r>
              <m:t>j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Δ</m:t>
        </m:r>
        <m:r>
          <m:t>C</m:t>
        </m:r>
        <m:r>
          <m:t>S</m:t>
        </m:r>
        <m:r>
          <m:rPr>
            <m:sty m:val="p"/>
          </m:rPr>
          <m:t>(</m:t>
        </m:r>
        <m:sSubSup>
          <m:e>
            <m:r>
              <m:t>s</m:t>
            </m:r>
          </m:e>
          <m:sub>
            <m:r>
              <m:t>j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Δ</m:t>
        </m:r>
        <m:r>
          <m:t>C</m:t>
        </m:r>
        <m:sSub>
          <m:e>
            <m:r>
              <m:t>S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via grid search over</w:t>
      </w:r>
      <w:r>
        <w:t xml:space="preserve"> </w:t>
      </w:r>
      <m:oMath>
        <m:r>
          <m:t>s</m:t>
        </m:r>
      </m:oMath>
      <w:r>
        <w:t xml:space="preserve">. For v2,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p</m:t>
            </m:r>
          </m:e>
          <m:sub>
            <m:r>
              <m:t>j</m:t>
            </m:r>
            <m:r>
              <m:rPr>
                <m:sty m:val="p"/>
              </m:rPr>
              <m:t>,</m:t>
            </m:r>
            <m:r>
              <m:t>g</m:t>
            </m:r>
          </m:sub>
        </m:sSub>
      </m:oMath>
      <w:r>
        <w:t xml:space="preserve"> </w:t>
      </w:r>
      <w:r>
        <w:t xml:space="preserve">is fixed by contract; compute</w:t>
      </w:r>
      <w:r>
        <w:t xml:space="preserve"> </w:t>
      </w:r>
      <m:oMath>
        <m:r>
          <m:rPr>
            <m:sty m:val="p"/>
          </m:rPr>
          <m:t>Δ</m:t>
        </m:r>
        <m:r>
          <m:t>C</m:t>
        </m:r>
        <m:r>
          <m:t>S</m:t>
        </m:r>
      </m:oMath>
      <w:r>
        <w:t xml:space="preserve"> </w:t>
      </w:r>
      <w:r>
        <w:t xml:space="preserve">directly and</w:t>
      </w:r>
      <w:r>
        <w:t xml:space="preserve"> </w:t>
      </w:r>
      <m:oMath>
        <m:sSubSup>
          <m:e>
            <m:r>
              <m:t>s</m:t>
            </m:r>
          </m:e>
          <m:sub>
            <m:r>
              <m:t>j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from §1.3.2.</w:t>
      </w:r>
    </w:p>
    <w:p>
      <w:pPr>
        <w:pStyle w:val="BodyText"/>
      </w:pPr>
      <w:r>
        <w:t xml:space="preserve">Rank stores by welfare per dollar of subsidy: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efficiency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C</m:t>
              </m:r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r>
                    <m:t>s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Store addition — NYC Groceries (static comparison):</w:t>
      </w:r>
    </w:p>
    <w:p>
      <w:pPr>
        <w:pStyle w:val="BodyText"/>
      </w:pPr>
      <w:r>
        <w:t xml:space="preserve">Add the planned store to the choice set with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10</m:t>
        </m:r>
      </m:oMath>
      <w:r>
        <w:t xml:space="preserve">. Set</w:t>
      </w:r>
      <w:r>
        <w:t xml:space="preserve"> </w:t>
      </w:r>
      <m:oMath>
        <m:sSubSup>
          <m:e>
            <m:r>
              <m:t>p</m:t>
            </m:r>
          </m:e>
          <m:sub>
            <m:r>
              <m:t>j</m:t>
            </m:r>
          </m:sub>
          <m:sup>
            <m:r>
              <m:rPr>
                <m:nor/>
                <m:sty m:val="p"/>
              </m:rPr>
              <m:t>post</m:t>
            </m:r>
          </m:sup>
        </m:sSubSup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0.30</m:t>
        </m:r>
        <m:r>
          <m:rPr>
            <m:sty m:val="p"/>
          </m:rPr>
          <m:t>⋅</m:t>
        </m:r>
        <m:sSub>
          <m:e>
            <m:r>
              <m:t>κ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per income group. Compute</w:t>
      </w:r>
      <w:r>
        <w:t xml:space="preserve"> </w:t>
      </w:r>
      <m:oMath>
        <m:r>
          <m:rPr>
            <m:sty m:val="p"/>
          </m:rPr>
          <m:t>Δ</m:t>
        </m:r>
        <m:r>
          <m:t>C</m:t>
        </m:r>
        <m:r>
          <m:t>S</m:t>
        </m:r>
      </m:oMath>
      <w:r>
        <w:t xml:space="preserve"> </w:t>
      </w:r>
      <w:r>
        <w:t xml:space="preserve">relative to the 9-store baseline.</w:t>
      </w:r>
      <w:r>
        <w:t xml:space="preserve"> </w:t>
      </w:r>
      <m:oMath>
        <m:sSub>
          <m:e>
            <m:r>
              <m:rPr>
                <m:nor/>
                <m:sty m:val="p"/>
              </m:rPr>
              <m:t>Rent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Tax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covered by NYCEDC and included in</w:t>
      </w:r>
      <w:r>
        <w:t xml:space="preserve"> </w:t>
      </w:r>
      <m:oMath>
        <m:sSubSup>
          <m:e>
            <m:r>
              <m:t>s</m:t>
            </m:r>
          </m:e>
          <m:sub>
            <m:r>
              <m:t>j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_e835d72d6028afed91cb3024ad71af2544c6238"/>
    <w:p>
      <w:pPr>
        <w:pStyle w:val="Heading2"/>
      </w:pPr>
      <w:r>
        <w:t xml:space="preserve">Part 2 — NYC Groceries Store Inputs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1788"/>
        <w:gridCol w:w="43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 /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name</w:t>
            </w:r>
          </w:p>
        </w:tc>
        <w:tc>
          <w:tcPr/>
          <w:p>
            <w:pPr>
              <w:pStyle w:val="Compact"/>
            </w:pPr>
            <w:r>
              <w:t xml:space="preserve">N.Y.C. Groceries</w:t>
            </w:r>
          </w:p>
        </w:tc>
        <w:tc>
          <w:tcPr/>
          <w:p>
            <w:pPr>
              <w:pStyle w:val="Compact"/>
            </w:pPr>
            <w:r>
              <w:t xml:space="preserve">RFP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1215 Spofford Ave, Bronx, NY 10474</w:t>
            </w:r>
          </w:p>
        </w:tc>
        <w:tc>
          <w:tcPr/>
          <w:p>
            <w:pPr>
              <w:pStyle w:val="Compact"/>
            </w:pPr>
            <w:r>
              <w:t xml:space="preserve">RFP Appendix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Coordinates</w:t>
            </w:r>
          </w:p>
        </w:tc>
        <w:tc>
          <w:tcPr/>
          <w:p>
            <w:pPr>
              <w:pStyle w:val="Compact"/>
            </w:pPr>
            <w:r>
              <w:t xml:space="preserve">lat 40.8149, lon −73.8921</w:t>
            </w:r>
          </w:p>
        </w:tc>
        <w:tc>
          <w:tcPr/>
          <w:p>
            <w:pPr>
              <w:pStyle w:val="Compact"/>
            </w:pPr>
            <w:r>
              <w:t xml:space="preserve">RFP Appendix 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sqft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RFP Appendix D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$28.95/basket</w:t>
            </w:r>
          </w:p>
        </w:tc>
        <w:tc>
          <w:tcPr/>
          <w:p>
            <w:pPr>
              <w:pStyle w:val="Compact"/>
            </w:pPr>
            <w:r>
              <w:t xml:space="preserve">All-Bronx CPI-adjusted average (no chain match);</w:t>
            </w:r>
            <w:r>
              <w:t xml:space="preserve"> </w:t>
            </w:r>
            <w:r>
              <w:rPr>
                <w:rStyle w:val="VerbatimChar"/>
              </w:rPr>
              <w:t xml:space="preserve">data/prices/p_j_cd2_candidate_stores.csv</w:t>
            </w:r>
            <w:r>
              <w:t xml:space="preserve"> </w:t>
            </w: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p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nor/>
                      <m:sty m:val="p"/>
                    </m:rPr>
                    <m:t>post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0.30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κ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per income group</w:t>
            </w:r>
          </w:p>
        </w:tc>
        <w:tc>
          <w:tcPr/>
          <w:p>
            <w:pPr>
              <w:pStyle w:val="Compact"/>
            </w:pPr>
            <w:r>
              <w:t xml:space="preserve">Derived; base: Low ≈ $22.52 · Mid ≈ $22.57 · High ≈ $22.68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(census-based)</w:t>
            </w:r>
          </w:p>
        </w:tc>
        <w:tc>
          <w:tcPr/>
          <w:p>
            <w:pPr>
              <w:pStyle w:val="Compact"/>
            </w:pPr>
            <w:r>
              <w:t xml:space="preserve">$12,429,300 (= 15,000 × $828.62)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data/revenue_census_estimate/bronx_sales_per_sqft_census.csv</w:t>
            </w:r>
            <w:r>
              <w:t xml:space="preserve"> </w:t>
            </w:r>
            <w:r>
              <w:t xml:space="preserve">central estimate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(ReferenceUSA alt.)</w:t>
            </w:r>
          </w:p>
        </w:tc>
        <w:tc>
          <w:tcPr/>
          <w:p>
            <w:pPr>
              <w:pStyle w:val="Compact"/>
            </w:pPr>
            <w:r>
              <w:t xml:space="preserve">$15,280,000 (size-based, 15,000 sqft × median ReferenceUSA rate)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data/revenue/revenue_j_cd2_candidate_stores.csv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design decision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Rent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$276,450 (= 15,000 × $18.43/sqft)</w:t>
            </w:r>
          </w:p>
        </w:tc>
        <w:tc>
          <w:tcPr/>
          <w:p>
            <w:pPr>
              <w:pStyle w:val="Compact"/>
            </w:pPr>
            <w:r>
              <w:t xml:space="preserve">Median rent/sqft of 6 large (≥5,000 sqft) CD2 stores;</w:t>
            </w:r>
            <w:r>
              <w:t xml:space="preserve"> </w:t>
            </w:r>
            <w:r>
              <w:rPr>
                <w:rStyle w:val="VerbatimChar"/>
              </w:rPr>
              <w:t xml:space="preserve">data/rent/rent_j_cd2_candidate_stores.csv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Tax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$93,900 (= 15,000 × $6.26/sqft, est.)</w:t>
            </w:r>
          </w:p>
        </w:tc>
        <w:tc>
          <w:tcPr/>
          <w:p>
            <w:pPr>
              <w:pStyle w:val="Compact"/>
            </w:pPr>
            <w:r>
              <w:t xml:space="preserve">Median tax/sqft of 6 large CD2 stores (excl. Food Fair outlier);</w:t>
            </w:r>
            <w:r>
              <w:t xml:space="preserve"> </w:t>
            </w:r>
            <w:r>
              <w:rPr>
                <w:rStyle w:val="VerbatimChar"/>
              </w:rPr>
              <w:t xml:space="preserve">data/tax/tax_j_cd2_candidate_stores.csv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snap_eligible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SNAP authorization on opening per RFP policy goals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status</w:t>
            </w:r>
          </w:p>
        </w:tc>
        <w:tc>
          <w:tcPr/>
          <w:p>
            <w:pPr>
              <w:pStyle w:val="Compact"/>
            </w:pPr>
            <w:r>
              <w:t xml:space="preserve">Planned (opening 2027)</w:t>
            </w:r>
          </w:p>
        </w:tc>
        <w:tc>
          <w:tcPr/>
          <w:p>
            <w:pPr>
              <w:pStyle w:val="Compact"/>
            </w:pPr>
            <w:r>
              <w:t xml:space="preserve">RFP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Rent and Tax:</w:t>
      </w:r>
      <w:r>
        <w:t xml:space="preserve"> </w:t>
      </w:r>
      <w:r>
        <w:t xml:space="preserve">NYCEDC covers both per the RFP. They are nonetheless modeled as explicit line items in</w:t>
      </w:r>
      <w:r>
        <w:t xml:space="preserve"> </w:t>
      </w:r>
      <m:oMath>
        <m:sSubSup>
          <m:e>
            <m:r>
              <m:t>s</m:t>
            </m:r>
          </m:e>
          <m:sub>
            <m:r>
              <m:t>j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to show the full public cost and to compute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AP</m:t>
            </m:r>
          </m:e>
          <m:sub>
            <m:r>
              <m:t>j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8" w:name="_b7d51ac235dd9350e4c615d5996f6504371a52c"/>
    <w:p>
      <w:pPr>
        <w:pStyle w:val="Heading2"/>
      </w:pPr>
      <w:r>
        <w:t xml:space="preserve">Part 3 — Map Figure</w:t>
      </w:r>
    </w:p>
    <w:p>
      <w:pPr>
        <w:pStyle w:val="CaptionedFigure"/>
      </w:pPr>
      <w:r>
        <w:drawing>
          <wp:inline>
            <wp:extent cx="5334000" cy="5957977"/>
            <wp:effectExtent b="0" l="0" r="0" t="0"/>
            <wp:docPr descr="CD2 store map" title="" id="26" name="Picture"/>
            <a:graphic>
              <a:graphicData uri="http://schemas.openxmlformats.org/drawingml/2006/picture">
                <pic:pic>
                  <pic:nvPicPr>
                    <pic:cNvPr descr="figures/cd2_store_map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57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CD2 store map</w:t>
      </w:r>
    </w:p>
    <w:p>
      <w:pPr>
        <w:pStyle w:val="FirstParagraph"/>
      </w:pPr>
      <w:r>
        <w:rPr>
          <w:i/>
          <w:iCs/>
        </w:rPr>
        <w:t xml:space="preserve">Figure 1. Bronx CD2 (Hunts Point / Longwood): census tract boundaries and centroids, 9 existing large grocery stores (blue circles), and the planned N.Y.C. Groceries location at 1215 Spofford Ave (orange star).</w:t>
      </w:r>
    </w:p>
    <w:p>
      <w:r>
        <w:pict>
          <v:rect style="width:0;height:1.5pt" o:hralign="center" o:hrstd="t" o:hr="t"/>
        </w:pict>
      </w:r>
    </w:p>
    <w:bookmarkEnd w:id="28"/>
    <w:bookmarkStart w:id="32" w:name="_3b51d22544f41ab07476246a631ab9ece250ec8"/>
    <w:p>
      <w:pPr>
        <w:pStyle w:val="Heading2"/>
      </w:pPr>
      <w:r>
        <w:t xml:space="preserve">Appendix — Parameter and Dataset Reference</w:t>
      </w:r>
    </w:p>
    <w:bookmarkStart w:id="29" w:name="_0462d6fd3e1ea1898d7bbac12ac02903cc2389a"/>
    <w:p>
      <w:pPr>
        <w:pStyle w:val="Heading3"/>
      </w:pPr>
      <w:r>
        <w:t xml:space="preserve">A.1 Full Symbol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2"/>
        <w:gridCol w:w="1584"/>
        <w:gridCol w:w="864"/>
        <w:gridCol w:w="1872"/>
        <w:gridCol w:w="24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First used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Dataset path</w:t>
            </w:r>
          </w:p>
        </w:tc>
        <w:tc>
          <w:tcPr/>
          <w:p>
            <w:pPr>
              <w:pStyle w:val="Compact"/>
            </w:pPr>
            <w:r>
              <w:t xml:space="preserve">Decision needed?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§1.1.1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sqft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§1.1.1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must set before running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sqft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§1.1.1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data/stores/large_grocery_stores_cd2.csv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§1.1.1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must set before running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§1.1.1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data/prices/p_j_cd2_candidate_stores.csv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§1.1.1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must set before running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§1.1.1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data/distance/d_tract_store_miles.csv</w:t>
            </w:r>
          </w:p>
        </w:tc>
        <w:tc>
          <w:tcPr/>
          <w:p>
            <w:pPr>
              <w:pStyle w:val="Compact"/>
            </w:pPr>
            <w:r>
              <w:t xml:space="preserve">No — already built for 16 tracts × 10 stores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§1.1.2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data/acs/cd2_B19001_2024.csv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HH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§1.1.2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data/acs/cd2_B19001_2024.csv</w:t>
            </w:r>
          </w:p>
        </w:tc>
        <w:tc>
          <w:tcPr/>
          <w:p>
            <w:pPr>
              <w:pStyle w:val="Compact"/>
            </w:pPr>
            <w:r>
              <w:t xml:space="preserve">No — 19,922 (2024)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§1.1.3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§1.1.3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— 9 existing; 10 with NYC Groceries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§1.1.4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§1.1.5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use 52 or income-differentiated?</w:t>
            </w:r>
            <w:r>
              <w:t xml:space="preserve"> </w:t>
            </w:r>
            <w:r>
              <w:t xml:space="preserve">(recommend 52)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r>
                <m:t>C</m:t>
              </m:r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§1.1.5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§1.2.1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Option A:</w:t>
            </w:r>
            <w:r>
              <w:t xml:space="preserve"> </w:t>
            </w:r>
            <w:r>
              <w:rPr>
                <w:rStyle w:val="VerbatimChar"/>
              </w:rPr>
              <w:t xml:space="preserve">data/revenue/revenue_j_cd2_candidate_stores.csv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revenue_rusa_2024</w:t>
            </w:r>
            <w:r>
              <w:t xml:space="preserve">) · Option B:</w:t>
            </w:r>
            <w:r>
              <w:t xml:space="preserve"> </w:t>
            </w:r>
            <w:r>
              <w:rPr>
                <w:rStyle w:val="VerbatimChar"/>
              </w:rPr>
              <w:t xml:space="preserve">data/revenue_census_estimate/revenue_j_census_cd2_candidate_stores.csv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revenue_census_central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choose Option A or B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§1.2.1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§1.2.1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data/bls/cd2_market_size_M_northeast_cd2weighted.csv</w:t>
            </w:r>
          </w:p>
        </w:tc>
        <w:tc>
          <w:tcPr/>
          <w:p>
            <w:pPr>
              <w:pStyle w:val="Compact"/>
            </w:pPr>
            <w:r>
              <w:t xml:space="preserve">No — $112.98M (2024)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§1.2.1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data/bls/ces_fbar_by_income_group_northeast_cd2weighted.csv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§1.3.1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 — {0.40, 0.65, 0.85} for v1 sensitivity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§1.3.1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v1 scenario input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§1.3.2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data/bls/kappa_core_basket_share_northeast_cd2weighted.csv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κ version: primary = base; low/high as sensitivity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§1.3.2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AP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§1.3.2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m:oMath>
              <m:sSubSup>
                <m:e>
                  <m:r>
                    <m:t>s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§1.3.2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Rent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§1.3.2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data/rent/rent_j_cd2_candidate_stores.csv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Rent_j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central vs. Rent_j_low / Rent_j_high?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Tax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§1.3.2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data/tax/tax_j_cd2_candidate_stores.csv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Tax_j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_6e1c8e7dba860ad1b566e0e9fdd04420489e63a"/>
    <w:p>
      <w:pPr>
        <w:pStyle w:val="Heading3"/>
      </w:pPr>
      <w:r>
        <w:t xml:space="preserve">A.2 Design Decision Flags</w:t>
      </w:r>
    </w:p>
    <w:p>
      <w:pPr>
        <w:pStyle w:val="FirstParagraph"/>
      </w:pPr>
      <w:r>
        <w:t xml:space="preserve">Decisions required before the model can produce numerical output: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2722"/>
        <w:gridCol w:w="247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Symbol(s)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sqft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β</m:t>
                  </m:r>
                </m:e>
                <m:sub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Set parameter values (no dataset exists; must come from literature calibration or assumption)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Choose revenue source: Option A (ReferenceUSA</w:t>
            </w:r>
            <w:r>
              <w:t xml:space="preserve"> </w:t>
            </w:r>
            <w:r>
              <w:rPr>
                <w:rStyle w:val="VerbatimChar"/>
              </w:rPr>
              <w:t xml:space="preserve">revenue_rusa_2024</w:t>
            </w:r>
            <w:r>
              <w:t xml:space="preserve">) or Option B (census-based</w:t>
            </w:r>
            <w:r>
              <w:t xml:space="preserve"> </w:t>
            </w:r>
            <w:r>
              <w:rPr>
                <w:rStyle w:val="VerbatimChar"/>
              </w:rPr>
              <w:t xml:space="preserve">revenue_census_central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nor/>
                      <m:sty m:val="p"/>
                    </m:rPr>
                    <m:t>Rent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bound</w:t>
            </w:r>
          </w:p>
        </w:tc>
        <w:tc>
          <w:tcPr/>
          <w:p>
            <w:pPr>
              <w:pStyle w:val="Compact"/>
            </w:pPr>
            <w:r>
              <w:t xml:space="preserve">Use central</w:t>
            </w:r>
            <w:r>
              <w:t xml:space="preserve"> </w:t>
            </w:r>
            <w:r>
              <w:rPr>
                <w:rStyle w:val="VerbatimChar"/>
              </w:rPr>
              <w:t xml:space="preserve">Rent_j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Rent_j_low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Rent_j_high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m:oMath>
              <m:r>
                <m:t>κ</m:t>
              </m:r>
            </m:oMath>
            <w:r>
              <w:t xml:space="preserve"> </w:t>
            </w: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Primary run =</w:t>
            </w:r>
            <w:r>
              <w:t xml:space="preserve"> </w:t>
            </w:r>
            <w:r>
              <w:rPr>
                <w:b/>
                <w:bCs/>
              </w:rPr>
              <w:t xml:space="preserve">κ_base</w:t>
            </w:r>
            <w:r>
              <w:t xml:space="preserve">; κ_low and κ_high reported as sensitivity bounds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κ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per income group vs. single κ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per income group</w:t>
            </w:r>
            <w:r>
              <w:t xml:space="preserve"> </w:t>
            </w:r>
            <m:oMath>
              <m:sSub>
                <m:e>
                  <m:r>
                    <m:t>κ</m:t>
                  </m:r>
                </m:e>
                <m:sub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data/distance/d_tract_store_miles.csv</w:t>
            </w:r>
            <w:r>
              <w:t xml:space="preserve"> </w:t>
            </w:r>
            <w:r>
              <w:t xml:space="preserve">(already built, 15 active tracts × 10 stores)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trips/year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52</w:t>
            </w:r>
            <w:r>
              <w:t xml:space="preserve"> </w:t>
            </w:r>
            <w:r>
              <w:t xml:space="preserve">(weekly shopping)</w:t>
            </w:r>
          </w:p>
        </w:tc>
        <w:tc>
          <w:tcPr/>
          <w:p>
            <w:pPr>
              <w:pStyle w:val="Compact"/>
            </w:pPr>
            <w:r>
              <w:t xml:space="preserve">Pending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m:oMath>
              <m:r>
                <m:t>θ</m:t>
              </m:r>
            </m:oMath>
            <w:r>
              <w:t xml:space="preserve"> </w:t>
            </w:r>
            <w:r>
              <w:t xml:space="preserve">scenarios (v1)</w:t>
            </w:r>
          </w:p>
        </w:tc>
        <w:tc>
          <w:tcPr/>
          <w:p>
            <w:pPr>
              <w:pStyle w:val="Compact"/>
            </w:pPr>
            <w:r>
              <w:t xml:space="preserve">{0.40, 0.65, 0.85}</w:t>
            </w:r>
          </w:p>
        </w:tc>
        <w:tc>
          <w:tcPr/>
          <w:p>
            <w:pPr>
              <w:pStyle w:val="Compact"/>
            </w:pPr>
            <w:r>
              <w:t xml:space="preserve">Pending 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for baseline</w:t>
            </w:r>
          </w:p>
        </w:tc>
        <w:tc>
          <w:tcPr/>
          <w:p>
            <w:pPr>
              <w:pStyle w:val="Compact"/>
            </w:pPr>
            <w:r>
              <w:t xml:space="preserve">9 existing stores</w:t>
            </w:r>
          </w:p>
        </w:tc>
        <w:tc>
          <w:tcPr/>
          <w:p>
            <w:pPr>
              <w:pStyle w:val="Compact"/>
            </w:pPr>
            <w:r>
              <w:t xml:space="preserve">Resolved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_e35d9c887b60063aa25fb249ed7f4793cff72d9"/>
    <w:p>
      <w:pPr>
        <w:pStyle w:val="Heading3"/>
      </w:pPr>
      <w:r>
        <w:t xml:space="preserve">A.3 Data File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data/stores/large_grocery_stores_cd2.csv</w:t>
            </w:r>
          </w:p>
        </w:tc>
        <w:tc>
          <w:tcPr/>
          <w:p>
            <w:pPr>
              <w:pStyle w:val="Compact"/>
            </w:pPr>
            <w:r>
              <w:t xml:space="preserve">9 candidate stores: name, address, sqft, lat/lon, SNAP eligibility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data/prices/p_j_cd2_candidate_stores.csv</w:t>
            </w:r>
          </w:p>
        </w:tc>
        <w:tc>
          <w:tcPr/>
          <w:p>
            <w:pPr>
              <w:pStyle w:val="Compact"/>
            </w:pPr>
            <w:r>
              <w:t xml:space="preserve">Basket price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($/10-item basket), CPI-adjusted to Aug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data/revenue/revenue_j_cd2_candidate_stores.csv</w:t>
            </w:r>
          </w:p>
        </w:tc>
        <w:tc>
          <w:tcPr/>
          <w:p>
            <w:pPr>
              <w:pStyle w:val="Compact"/>
            </w:pPr>
            <w:r>
              <w:t xml:space="preserve">ReferenceUSA 2024 revenue; size-based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data/revenue_census_estimate/revenue_j_census_cd2_candidate_stores.csv</w:t>
            </w:r>
          </w:p>
        </w:tc>
        <w:tc>
          <w:tcPr/>
          <w:p>
            <w:pPr>
              <w:pStyle w:val="Compact"/>
            </w:pPr>
            <w:r>
              <w:t xml:space="preserve">Census-based revenue;</w:t>
            </w:r>
            <w:r>
              <w:t xml:space="preserve"> </w:t>
            </w:r>
            <w:r>
              <w:rPr>
                <w:rStyle w:val="VerbatimChar"/>
              </w:rPr>
              <w:t xml:space="preserve">revenue_census_central</w:t>
            </w:r>
            <w:r>
              <w:t xml:space="preserve"> </w:t>
            </w: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data/revenue_census_estimate/bronx_sales_per_sqft_census.csv</w:t>
            </w:r>
          </w:p>
        </w:tc>
        <w:tc>
          <w:tcPr/>
          <w:p>
            <w:pPr>
              <w:pStyle w:val="Compact"/>
            </w:pPr>
            <w:r>
              <w:t xml:space="preserve">Bronx NAICS 4451 sales/sqft variants; central = $828.62/sqft/yr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data/tax/tax_j_cd2_candidate_stores.csv</w:t>
            </w:r>
          </w:p>
        </w:tc>
        <w:tc>
          <w:tcPr/>
          <w:p>
            <w:pPr>
              <w:pStyle w:val="Compact"/>
            </w:pPr>
            <w:r>
              <w:t xml:space="preserve">DOF property tax FY2025, store share (</w:t>
            </w:r>
            <w:r>
              <w:rPr>
                <w:rStyle w:val="VerbatimChar"/>
              </w:rPr>
              <w:t xml:space="preserve">Tax_j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data/rent/rent_j_cd2_candidate_stores.csv</w:t>
            </w:r>
          </w:p>
        </w:tc>
        <w:tc>
          <w:tcPr/>
          <w:p>
            <w:pPr>
              <w:pStyle w:val="Compact"/>
            </w:pPr>
            <w:r>
              <w:t xml:space="preserve">DOF notice rent estimates (</w:t>
            </w:r>
            <w:r>
              <w:rPr>
                <w:rStyle w:val="VerbatimChar"/>
              </w:rPr>
              <w:t xml:space="preserve">Rent_j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Rent_j_low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Rent_j_high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data/bls/ces_fbar_by_income_group_northeast_cd2weighted.csv</w:t>
            </w:r>
          </w:p>
        </w:tc>
        <w:tc>
          <w:tcPr/>
          <w:p>
            <w:pPr>
              <w:pStyle w:val="Compact"/>
            </w:pPr>
            <w:r>
              <w:t xml:space="preserve">Weekly food-at-home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by income group, Northeast CES, CD2-weighted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data/bls/cd2_market_size_M_northeast_cd2weighted.csv</w:t>
            </w:r>
          </w:p>
        </w:tc>
        <w:tc>
          <w:tcPr/>
          <w:p>
            <w:pPr>
              <w:pStyle w:val="Compact"/>
            </w:pPr>
            <w:r>
              <w:t xml:space="preserve">Annual CD2 grocery market size</w:t>
            </w:r>
            <w:r>
              <w:t xml:space="preserve"> </w:t>
            </w:r>
            <m:oMath>
              <m:r>
                <m:t>M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data/bls/kappa_core_basket_share_northeast_cd2weighted.csv</w:t>
            </w:r>
          </w:p>
        </w:tc>
        <w:tc>
          <w:tcPr/>
          <w:p>
            <w:pPr>
              <w:pStyle w:val="Compact"/>
            </w:pPr>
            <w:r>
              <w:t xml:space="preserve">Core basket share</w:t>
            </w:r>
            <w:r>
              <w:t xml:space="preserve"> </w:t>
            </w:r>
            <m:oMath>
              <m:sSub>
                <m:e>
                  <m:r>
                    <m:t>κ</m:t>
                  </m:r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(low/base/high) by income group and ACS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data/bls/fbar_core_noncore_by_income_group_northeast.csv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f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oMath>
            <w:r>
              <w:t xml:space="preserve"> </w:t>
            </w:r>
            <w:r>
              <w:t xml:space="preserve">split into core / non-core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data/distance/d_tract_store_miles.csv</w:t>
            </w:r>
          </w:p>
        </w:tc>
        <w:tc>
          <w:tcPr/>
          <w:p>
            <w:pPr>
              <w:pStyle w:val="Compact"/>
            </w:pPr>
            <w:r>
              <w:t xml:space="preserve">Tract-to-store distances (miles); 16 tracts × 10 stores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data/geography/bronx_cd2_tract_centroids.csv</w:t>
            </w:r>
          </w:p>
        </w:tc>
        <w:tc>
          <w:tcPr/>
          <w:p>
            <w:pPr>
              <w:pStyle w:val="Compact"/>
            </w:pPr>
            <w:r>
              <w:t xml:space="preserve">Tract centroid coordinates (lat/lon) for 16 CD2 tracts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data/geography/bronx_cd2_tracts.geojson</w:t>
            </w:r>
          </w:p>
        </w:tc>
        <w:tc>
          <w:tcPr/>
          <w:p>
            <w:pPr>
              <w:pStyle w:val="Compact"/>
            </w:pPr>
            <w:r>
              <w:t xml:space="preserve">Tract polygon boundaries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data/geography/bronx_cd2_boundary.geojson</w:t>
            </w:r>
          </w:p>
        </w:tc>
        <w:tc>
          <w:tcPr/>
          <w:p>
            <w:pPr>
              <w:pStyle w:val="Compact"/>
            </w:pPr>
            <w:r>
              <w:t xml:space="preserve">CD2 district boundary polygon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data/acs/cd2_B19001_2024.csv</w:t>
            </w:r>
          </w:p>
        </w:tc>
        <w:tc>
          <w:tcPr/>
          <w:p>
            <w:pPr>
              <w:pStyle w:val="Compact"/>
            </w:pPr>
            <w:r>
              <w:t xml:space="preserve">ACS B19001 household counts by tract and income bracket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figures/cd2_store_map.png</w:t>
            </w:r>
          </w:p>
        </w:tc>
        <w:tc>
          <w:tcPr/>
          <w:p>
            <w:pPr>
              <w:pStyle w:val="Compact"/>
            </w:pPr>
            <w:r>
              <w:t xml:space="preserve">Map figure (generated by</w:t>
            </w:r>
            <w:r>
              <w:t xml:space="preserve"> </w:t>
            </w:r>
            <w:r>
              <w:rPr>
                <w:rStyle w:val="VerbatimChar"/>
              </w:rPr>
              <w:t xml:space="preserve">code/generate_cd2_store_map.py</w:t>
            </w:r>
            <w:r>
              <w:t xml:space="preserve">)</w:t>
            </w:r>
          </w:p>
        </w:tc>
      </w:tr>
    </w:tbl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2026-09-30T15:53:56Z</dcterms:created>
  <dcterms:modified xsi:type="dcterms:W3CDTF">2026-09-30T15:53:56Z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