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Grocery Subsidy Model — Equation Review</w:t>
      </w:r>
    </w:p>
    <w:p>
      <w:r>
        <w:t>LEVEL_1_NYC_Grocery_Subsidy_Model_Specification_v3 · Bronx CD2, Hunts Point / Longwood</w:t>
      </w:r>
    </w:p>
    <w:p/>
    <w:p>
      <w:pPr>
        <w:pStyle w:val="Heading2"/>
      </w:pPr>
      <w:r>
        <w:t>Q1 — Eq 1.1.1b: Why the Gumbel distribution?</w:t>
      </w:r>
    </w:p>
    <w:p>
      <w:pPr>
        <w:ind w:left="504"/>
        <w:shd w:val="clear" w:color="auto" w:fill="EFEFEF"/>
      </w:pPr>
      <w:r>
        <w:rPr>
          <w:rFonts w:ascii="Courier New" w:hAnsi="Courier New"/>
          <w:sz w:val="19"/>
        </w:rPr>
        <w:t>epsilon_ij ~ Gumbel(0, 1)    (i.i.d. Type I Extreme Value)</w:t>
      </w:r>
    </w:p>
    <w:p>
      <w:r>
        <w:t>The Gumbel (Type I Extreme Value) distribution is chosen for one precise mathematical reason: we model a consumer choosing the store with the highest utility, so we need the distribution of a maximum over several random variables. The Gumbel is the limiting distribution of the maximum of many i.i.d. random variables — this is literally what "extreme value" means.</w:t>
      </w:r>
    </w:p>
    <w:p>
      <w:r>
        <w:t>The critical payoff is a closed-form choice probability. If every epsilon_ij is independently Gumbel(0,1), McFadden (1974) proved:</w:t>
      </w:r>
    </w:p>
    <w:p>
      <w:pPr>
        <w:ind w:left="504"/>
        <w:shd w:val="clear" w:color="auto" w:fill="EFEFEF"/>
      </w:pPr>
      <w:r>
        <w:rPr>
          <w:rFonts w:ascii="Courier New" w:hAnsi="Courier New"/>
          <w:sz w:val="19"/>
        </w:rPr>
        <w:t>Pr(group i chooses store j) = exp(V_ij) / sum_k exp(V_ik)</w:t>
      </w:r>
    </w:p>
    <w:p>
      <w:r>
        <w:t>This is the multinomial logit (MNL) formula — exact, no numerical integration required. Using Normal errors instead would give the multinomial probit model, which requires high-dimensional numerical integration (slow and hard to calibrate).</w:t>
      </w:r>
    </w:p>
    <w:p>
      <w:pPr>
        <w:ind w:left="432"/>
        <w:shd w:val="clear" w:color="auto" w:fill="EBF3FB"/>
      </w:pPr>
      <w:r>
        <w:rPr>
          <w:b/>
          <w:sz w:val="21"/>
        </w:rPr>
        <w:t xml:space="preserve">Note — Practical implication: </w:t>
      </w:r>
      <w:r>
        <w:rPr>
          <w:sz w:val="21"/>
        </w:rPr>
        <w:t>The Gumbel assumption is a tractability device, not a strong behavioral claim. The stronger assumption to scrutinize is that epsilon_ij are independent across stores (the IIA property). For a food-desert first-pass model this is acceptable; the LEVEL_2 spec notes it can be relaxed with a Mixed Logit.</w:t>
      </w:r>
    </w:p>
    <w:p>
      <w:r>
        <w:t>Key sources:</w:t>
        <w:br/>
        <w:t xml:space="preserve">  - McFadden, D. (1974). Conditional logit analysis. Frontiers in Econometrics, pp. 105-142.</w:t>
        <w:br/>
        <w:t xml:space="preserve">    https://escholarship.org/uc/item/61s3q2xr</w:t>
        <w:br/>
        <w:t xml:space="preserve">  - Train, K.E. (2009). Discrete Choice Methods with Simulation, Ch. 2 pp. 11-33.</w:t>
        <w:br/>
        <w:t xml:space="preserve">    https://eml.berkeley.edu/books/train1201.pdf</w:t>
      </w:r>
    </w:p>
    <w:p/>
    <w:p>
      <w:pPr>
        <w:pStyle w:val="Heading2"/>
      </w:pPr>
      <w:r>
        <w:t>Q2 — Consumer groups to stores: probabilistic assignment via Eq 1.1.3</w:t>
      </w:r>
    </w:p>
    <w:p>
      <w:r>
        <w:t>There is no 1-to-1 assignment of consumers to stores. The mismatch (3 income groups or 16 tracts vs. many stores) is exactly what Eq 1.1.3 resolves probabilistically. Eq 1.1.3 computes every (i, j) pair simultaneously:</w:t>
      </w:r>
    </w:p>
    <w:p>
      <w:pPr>
        <w:ind w:left="504"/>
        <w:shd w:val="clear" w:color="auto" w:fill="EFEFEF"/>
      </w:pPr>
      <w:r>
        <w:rPr>
          <w:rFonts w:ascii="Courier New" w:hAnsi="Courier New"/>
          <w:sz w:val="19"/>
        </w:rPr>
        <w:t>s_ij = exp(V_ij) / sum_k exp(V_ik)    for all i = 1...I, j = 1...J</w:t>
      </w:r>
    </w:p>
    <w:p>
      <w:r>
        <w:t>Each income group i gets a probability s_ij for every store j. A low-income household (group 1) might have a 7.5% probability of shopping at store 1 and 92.5% at store 2. These sum to 1 across stores for each group. Yes — Eq 1.1.3 is exactly the probabilistic splitting mechanism you suspected.</w:t>
      </w:r>
    </w:p>
    <w:p>
      <w:pPr>
        <w:ind w:left="432"/>
        <w:shd w:val="clear" w:color="auto" w:fill="EBF3FB"/>
      </w:pPr>
      <w:r>
        <w:rPr>
          <w:b/>
          <w:sz w:val="21"/>
        </w:rPr>
        <w:t xml:space="preserve">Note — LEVEL_2 vs. LEVEL_1 distinction: </w:t>
      </w:r>
      <w:r>
        <w:rPr>
          <w:sz w:val="21"/>
        </w:rPr>
        <w:t>In the LEVEL_2 spec, each of ~16 census tracts is a separate consumer type with its own centroid location and income-derived beta values, giving 16 x J pairs. In LEVEL_1's simplification, the 16 tracts are collapsed into 3 income groups, giving 3 x J pairs. LEVEL_2 is spatially richer: a household in the northern part of CD2 has different distances to stores than one in the south.</w:t>
      </w:r>
    </w:p>
    <w:p>
      <w:r>
        <w:t>Sources:</w:t>
        <w:br/>
        <w:t xml:space="preserve">  - McFadden (1974). https://escholarship.org/uc/item/61s3q2xr</w:t>
        <w:br/>
        <w:t xml:space="preserve">  - Train (2009), Ch. 2 pp. 11-33. https://eml.berkeley.edu/books/train1201.pdf</w:t>
      </w:r>
    </w:p>
    <w:p/>
    <w:p>
      <w:pPr>
        <w:pStyle w:val="Heading2"/>
      </w:pPr>
      <w:r>
        <w:t>Q2a — How many i/j pairs will there be?</w:t>
      </w:r>
    </w:p>
    <w:p>
      <w:r>
        <w:t>The number of (i, j) pairs is I x J, where I = consumer types and J = candidate stores. The spec targets 5-12 SNAP-authorized stores for J.</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Model version</w:t>
            </w:r>
          </w:p>
        </w:tc>
        <w:tc>
          <w:tcPr>
            <w:tcW w:type="dxa" w:w="2268"/>
          </w:tcPr>
          <w:p>
            <w:r>
              <w:rPr>
                <w:b/>
              </w:rPr>
              <w:t>Consumer types (I)</w:t>
            </w:r>
          </w:p>
        </w:tc>
        <w:tc>
          <w:tcPr>
            <w:tcW w:type="dxa" w:w="2268"/>
          </w:tcPr>
          <w:p>
            <w:r>
              <w:rPr>
                <w:b/>
              </w:rPr>
              <w:t>Stores (J)</w:t>
            </w:r>
          </w:p>
        </w:tc>
        <w:tc>
          <w:tcPr>
            <w:tcW w:type="dxa" w:w="2268"/>
          </w:tcPr>
          <w:p>
            <w:r>
              <w:rPr>
                <w:b/>
              </w:rPr>
              <w:t>Total i/j pairs</w:t>
            </w:r>
          </w:p>
        </w:tc>
      </w:tr>
      <w:tr>
        <w:tc>
          <w:tcPr>
            <w:tcW w:type="dxa" w:w="2268"/>
          </w:tcPr>
          <w:p>
            <w:r>
              <w:t>LEVEL_1 (simplified)</w:t>
            </w:r>
          </w:p>
        </w:tc>
        <w:tc>
          <w:tcPr>
            <w:tcW w:type="dxa" w:w="2268"/>
          </w:tcPr>
          <w:p>
            <w:r>
              <w:t>3 income groups</w:t>
            </w:r>
          </w:p>
        </w:tc>
        <w:tc>
          <w:tcPr>
            <w:tcW w:type="dxa" w:w="2268"/>
          </w:tcPr>
          <w:p>
            <w:r>
              <w:t>5-12 (SNAP stores in CD2)</w:t>
            </w:r>
          </w:p>
        </w:tc>
        <w:tc>
          <w:tcPr>
            <w:tcW w:type="dxa" w:w="2268"/>
          </w:tcPr>
          <w:p>
            <w:r>
              <w:t>15-36</w:t>
            </w:r>
          </w:p>
        </w:tc>
      </w:tr>
      <w:tr>
        <w:tc>
          <w:tcPr>
            <w:tcW w:type="dxa" w:w="2268"/>
          </w:tcPr>
          <w:p>
            <w:r>
              <w:t>LEVEL_2 (full)</w:t>
            </w:r>
          </w:p>
        </w:tc>
        <w:tc>
          <w:tcPr>
            <w:tcW w:type="dxa" w:w="2268"/>
          </w:tcPr>
          <w:p>
            <w:r>
              <w:t>~16 census tracts</w:t>
            </w:r>
          </w:p>
        </w:tc>
        <w:tc>
          <w:tcPr>
            <w:tcW w:type="dxa" w:w="2268"/>
          </w:tcPr>
          <w:p>
            <w:r>
              <w:t>5-12</w:t>
            </w:r>
          </w:p>
        </w:tc>
        <w:tc>
          <w:tcPr>
            <w:tcW w:type="dxa" w:w="2268"/>
          </w:tcPr>
          <w:p>
            <w:r>
              <w:t>80-192</w:t>
            </w:r>
          </w:p>
        </w:tc>
      </w:tr>
      <w:tr>
        <w:tc>
          <w:tcPr>
            <w:tcW w:type="dxa" w:w="2268"/>
          </w:tcPr>
          <w:p>
            <w:r>
              <w:t>If J = 137 (all stores, LEVEL_1)</w:t>
            </w:r>
          </w:p>
        </w:tc>
        <w:tc>
          <w:tcPr>
            <w:tcW w:type="dxa" w:w="2268"/>
          </w:tcPr>
          <w:p>
            <w:r>
              <w:t>3</w:t>
            </w:r>
          </w:p>
        </w:tc>
        <w:tc>
          <w:tcPr>
            <w:tcW w:type="dxa" w:w="2268"/>
          </w:tcPr>
          <w:p>
            <w:r>
              <w:t>137</w:t>
            </w:r>
          </w:p>
        </w:tc>
        <w:tc>
          <w:tcPr>
            <w:tcW w:type="dxa" w:w="2268"/>
          </w:tcPr>
          <w:p>
            <w:r>
              <w:t>411</w:t>
            </w:r>
          </w:p>
        </w:tc>
      </w:tr>
      <w:tr>
        <w:tc>
          <w:tcPr>
            <w:tcW w:type="dxa" w:w="2268"/>
          </w:tcPr>
          <w:p>
            <w:r>
              <w:t>If J = 137 (all stores, LEVEL_2)</w:t>
            </w:r>
          </w:p>
        </w:tc>
        <w:tc>
          <w:tcPr>
            <w:tcW w:type="dxa" w:w="2268"/>
          </w:tcPr>
          <w:p>
            <w:r>
              <w:t>16</w:t>
            </w:r>
          </w:p>
        </w:tc>
        <w:tc>
          <w:tcPr>
            <w:tcW w:type="dxa" w:w="2268"/>
          </w:tcPr>
          <w:p>
            <w:r>
              <w:t>137</w:t>
            </w:r>
          </w:p>
        </w:tc>
        <w:tc>
          <w:tcPr>
            <w:tcW w:type="dxa" w:w="2268"/>
          </w:tcPr>
          <w:p>
            <w:r>
              <w:t>2,192</w:t>
            </w:r>
          </w:p>
        </w:tc>
      </w:tr>
    </w:tbl>
    <w:p/>
    <w:p>
      <w:r>
        <w:t>For each pair you compute one V_ij (utility) and one s_ij (choice probability), stored in a 2-D NumPy array of shape (I, J). The Phase 0 code in the spec sets this up as V_pre = np.zeros((N, J)). The welfare computation (logsum) collapses the J dimension to one number per group: logsum_i = ln(sum_j exp(V_ij)), giving a vector of length I. A dot product with household counts n_i gives the scalar DeltaCS.</w:t>
      </w:r>
    </w:p>
    <w:p/>
    <w:p>
      <w:pPr>
        <w:pStyle w:val="Heading2"/>
      </w:pPr>
      <w:r>
        <w:t>Q3 — Consumer welfare equations: derivation and sources</w:t>
      </w:r>
    </w:p>
    <w:p>
      <w:r>
        <w:t>The welfare formulas (Eq 1.1.5a-c, repeated as Eq 1.3.3d) come from the logsum (inclusive value) result in discrete choice welfare theory.</w:t>
      </w:r>
    </w:p>
    <w:p>
      <w:pPr>
        <w:pStyle w:val="Heading3"/>
      </w:pPr>
      <w:r>
        <w:t>Step 1 — Expected maximum utility</w:t>
      </w:r>
    </w:p>
    <w:p>
      <w:pPr>
        <w:ind w:left="504"/>
        <w:shd w:val="clear" w:color="auto" w:fill="EFEFEF"/>
      </w:pPr>
      <w:r>
        <w:rPr>
          <w:rFonts w:ascii="Courier New" w:hAnsi="Courier New"/>
          <w:sz w:val="19"/>
        </w:rPr>
        <w:t>E[max_j U_ij] = ln(sum_k exp(V_ik)) + gamma     (gamma approx 0.5772)</w:t>
      </w:r>
    </w:p>
    <w:p>
      <w:r>
        <w:t>Standard result for Gumbel-distributed errors. Proof: Train (2009) Ch. 2 Theorem 2.1.</w:t>
      </w:r>
    </w:p>
    <w:p>
      <w:pPr>
        <w:pStyle w:val="Heading3"/>
      </w:pPr>
      <w:r>
        <w:t>Step 2 — Convert to dollars</w:t>
      </w:r>
    </w:p>
    <w:p>
      <w:pPr>
        <w:ind w:left="504"/>
        <w:shd w:val="clear" w:color="auto" w:fill="EFEFEF"/>
      </w:pPr>
      <w:r>
        <w:rPr>
          <w:rFonts w:ascii="Courier New" w:hAnsi="Courier New"/>
          <w:sz w:val="19"/>
        </w:rPr>
        <w:t>W_i = (1/beta_p_i) * [ln sum_k exp(V_ik) + gamma]     &lt;- Eq 1.1.5a</w:t>
      </w:r>
    </w:p>
    <w:p>
      <w:r>
        <w:t>Divide by beta_p_i (the marginal utility of income — utility gained per dollar saved).</w:t>
      </w:r>
    </w:p>
    <w:p>
      <w:pPr>
        <w:pStyle w:val="Heading3"/>
      </w:pPr>
      <w:r>
        <w:t>Step 3 — Welfare change; the constant gamma cancels</w:t>
      </w:r>
    </w:p>
    <w:p>
      <w:pPr>
        <w:ind w:left="504"/>
        <w:shd w:val="clear" w:color="auto" w:fill="EFEFEF"/>
      </w:pPr>
      <w:r>
        <w:rPr>
          <w:rFonts w:ascii="Courier New" w:hAnsi="Courier New"/>
          <w:sz w:val="19"/>
        </w:rPr>
        <w:t>DeltaW_i = W_i_post - W_i_pre</w:t>
        <w:br/>
        <w:t xml:space="preserve">         = (1/beta_p_i) * [logsum_post_i - logsum_pre_i]     &lt;- Eq 1.1.5b</w:t>
      </w:r>
    </w:p>
    <w:p>
      <w:r>
        <w:t>gamma/beta_p_i is identical in pre and post states and vanishes from the difference. We never need to compute gamma. This is why DeltaCS (not the level W_i) is the policy metric.</w:t>
      </w:r>
    </w:p>
    <w:p>
      <w:pPr>
        <w:pStyle w:val="Heading3"/>
      </w:pPr>
      <w:r>
        <w:t>Step 4 — Aggregate over income groups</w:t>
      </w:r>
    </w:p>
    <w:p>
      <w:pPr>
        <w:ind w:left="504"/>
        <w:shd w:val="clear" w:color="auto" w:fill="EFEFEF"/>
      </w:pPr>
      <w:r>
        <w:rPr>
          <w:rFonts w:ascii="Courier New" w:hAnsi="Courier New"/>
          <w:sz w:val="19"/>
        </w:rPr>
        <w:t>DeltaCS = sum_i n_i * DeltaW_i</w:t>
        <w:br/>
        <w:t xml:space="preserve">        = sum_i (n_i / beta_p_i) * [logsum_post_i - logsum_pre_i]     &lt;- Eq 1.1.5c = Eq 1.3.3d</w:t>
      </w:r>
    </w:p>
    <w:p>
      <w:pPr>
        <w:ind w:left="432"/>
        <w:shd w:val="clear" w:color="auto" w:fill="EBF3FB"/>
      </w:pPr>
      <w:r>
        <w:rPr>
          <w:b/>
          <w:sz w:val="21"/>
        </w:rPr>
        <w:t xml:space="preserve">Note — Connection to intro-micro consumer surplus: </w:t>
      </w:r>
      <w:r>
        <w:rPr>
          <w:sz w:val="21"/>
        </w:rPr>
        <w:t>In intro micro, DeltaCS approx -DeltaP x Q. The logsum captures more: it rises when (a) consumers at store j* pay less, AND (b) consumers who didn't shop at j* before now find it attractive enough to switch. Small &amp; Rosen (1981) proved this satisfies Roy's Identity and path-independence — it is the exact discrete-choice equivalent of compensating variation.</w:t>
      </w:r>
    </w:p>
    <w:p>
      <w:r>
        <w:t>Foundational sources:</w:t>
        <w:br/>
        <w:t xml:space="preserve">  - Small, K.A. &amp; Rosen, H.S. (1981). Applied welfare economics with discrete choice models.</w:t>
        <w:br/>
        <w:t xml:space="preserve">    Econometrica, 49(1), 105-130. https://www.jstor.org/stable/1911129</w:t>
        <w:br/>
        <w:t xml:space="preserve">    Eq (3) in that paper is directly equivalent to Eq 1.3.3d here.</w:t>
        <w:br/>
        <w:t xml:space="preserve">  - Williams, H.C.W.L. (1977). On the formation of travel demand models.</w:t>
        <w:br/>
        <w:t xml:space="preserve">    Environment and Planning A, 9(3), 285-344. https://journals.sagepub.com/doi/10.1068/a090285</w:t>
        <w:br/>
        <w:t xml:space="preserve">  - Train (2009), Ch. 3 'Welfare,' pp. 55-79. https://eml.berkeley.edu/books/train1201.pdf</w:t>
      </w:r>
    </w:p>
    <w:p/>
    <w:p>
      <w:pPr>
        <w:pStyle w:val="Heading2"/>
      </w:pPr>
      <w:r>
        <w:t>Q4 — Is pass-through theta defensible as a fixed parameter?</w:t>
      </w:r>
    </w:p>
    <w:p>
      <w:r>
        <w:t>This is the most substantive modeling critique. The short answer: theta as a fixed parameter is a reasonable first-order approximation, but the intuition that it should depend on basket composition is correct.</w:t>
      </w:r>
    </w:p>
    <w:p>
      <w:pPr>
        <w:pStyle w:val="Heading3"/>
      </w:pPr>
      <w:r>
        <w:t>Argument for treating theta as fixed</w:t>
      </w:r>
    </w:p>
    <w:p>
      <w:r>
        <w:t>The pass-through literature (Besanko et al. 2005; Nakamura &amp; Zerom 2010) estimates theta from cost-shock natural experiments and finds it relatively stable within firm types (independent grocery theta approx 0.50-0.75; chains approx 0.60-0.85). For a policy planning model whose goal is rank-ordering stores and setting a budget order-of-magnitude, a fixed theta is defensible. The spec acknowledges uncertainty via sensitivity runs at theta in {0.40, 0.65, 0.85}.</w:t>
      </w:r>
    </w:p>
    <w:p>
      <w:pPr>
        <w:pStyle w:val="Heading3"/>
      </w:pPr>
      <w:r>
        <w:t>Scenario: contractual % reduction on core basket items</w:t>
      </w:r>
    </w:p>
    <w:p>
      <w:r>
        <w:t>If the contract mandates a 30% price reduction on core basket items (staples — bread, rice, beans, produce), the effective pass-through to the average basket price is:</w:t>
      </w:r>
    </w:p>
    <w:p>
      <w:pPr>
        <w:ind w:left="504"/>
        <w:shd w:val="clear" w:color="auto" w:fill="EFEFEF"/>
      </w:pPr>
      <w:r>
        <w:rPr>
          <w:rFonts w:ascii="Courier New" w:hAnsi="Courier New"/>
          <w:sz w:val="19"/>
        </w:rPr>
        <w:t>theta_effective = contractual_reduction x core_basket_revenue_share</w:t>
        <w:br/>
        <w:t>Example: 0.30 x 0.60 = 0.18    (vs. the assumed theta = 0.65)</w:t>
      </w:r>
    </w:p>
    <w:p>
      <w:r>
        <w:t>This is dramatically lower than theta = 0.65. The model overestimates welfare gains for contractual-reduction subsidies unless theta is recalibrated to match the basket composition.</w:t>
      </w:r>
    </w:p>
    <w:p>
      <w:pPr>
        <w:pStyle w:val="Heading3"/>
      </w:pPr>
      <w:r>
        <w:t>Scenario 2: tiered subsidies with different price reduction levels</w:t>
      </w:r>
    </w:p>
    <w:p>
      <w:r>
        <w:t>If the subsidy level s determines the depth of required price cuts, theta becomes a function of s. Weyl &amp; Fabinger (2013) show that pass-through is determined by demand curvature and competitive conduct and can increase or decrease with s. This is a LEVEL_3 model extension.</w:t>
      </w:r>
    </w:p>
    <w:p>
      <w:pPr>
        <w:ind w:left="432"/>
        <w:shd w:val="clear" w:color="auto" w:fill="EBF3FB"/>
      </w:pPr>
      <w:r>
        <w:rPr>
          <w:b/>
          <w:sz w:val="21"/>
        </w:rPr>
        <w:t xml:space="preserve">Note — Recommended model extension: </w:t>
      </w:r>
      <w:r>
        <w:rPr>
          <w:sz w:val="21"/>
        </w:rPr>
        <w:t>Replace scalar theta with two parameters: (1) core basket revenue share (from USDA FNS SNAP redemption data or store-type benchmarks), and (2) contractual reduction rate (set by the subsidy contract). Then theta_effective = contractual_rate x core_basket_share. Run sensitivity on both parameters independently.</w:t>
      </w:r>
    </w:p>
    <w:p>
      <w:r>
        <w:t>Sources:</w:t>
        <w:br/>
        <w:t xml:space="preserve">  - Besanko, D., Dube, J.P., &amp; Gupta, S. (2005). Own-brand and cross-brand retail pass-through.</w:t>
        <w:br/>
        <w:t xml:space="preserve">    Marketing Science, 24(1), 123-137. https://www.proquest.com/docview/212292878</w:t>
        <w:br/>
        <w:t xml:space="preserve">  - Nakamura, E. &amp; Zerom, D. (2010). Accounting for incomplete pass-through.</w:t>
        <w:br/>
        <w:t xml:space="preserve">    Review of Economic Studies, 77(3), 1192-1230. https://www.jstor.org/stable/40835861</w:t>
        <w:br/>
        <w:t xml:space="preserve">  - Weyl, E.G. &amp; Fabinger, M. (2013). Pass-through as an economic tool.</w:t>
        <w:br/>
        <w:t xml:space="preserve">    Journal of Political Economy, 121(3), 528-583.</w:t>
        <w:br/>
        <w:t xml:space="preserve">    https://www-journals-uchicago-edu.us1.proxy.openathens.net/doi/full/10.1086/670401</w:t>
      </w:r>
    </w:p>
    <w:p/>
    <w:p>
      <w:pPr>
        <w:pStyle w:val="Heading2"/>
      </w:pPr>
      <w:r>
        <w:t>Q5 — Probabilistic scores rather than 1-to-1 assignment?</w:t>
      </w:r>
    </w:p>
    <w:p>
      <w:r>
        <w:t>Yes, exactly. This is the defining feature of the multinomial logit model. No consumer or consumer group is assigned to any store. Each (group, store) pair receives a probability s_ij. For example, s_ij = 0.12 for a bodega means 12% of low-income shopping trips go to that bodega in expectation — not that any specific household is locked to it.</w:t>
      </w:r>
    </w:p>
    <w:p>
      <w:r>
        <w:t>The aggregate market share (Eq 1.1.4) sums these up:</w:t>
      </w:r>
    </w:p>
    <w:p>
      <w:pPr>
        <w:ind w:left="504"/>
        <w:shd w:val="clear" w:color="auto" w:fill="EFEFEF"/>
      </w:pPr>
      <w:r>
        <w:rPr>
          <w:rFonts w:ascii="Courier New" w:hAnsi="Courier New"/>
          <w:sz w:val="19"/>
        </w:rPr>
        <w:t>S_j = (1/N_HH) * sum_i n_i * s_ij</w:t>
      </w:r>
    </w:p>
    <w:p>
      <w:r>
        <w:t>This can be read as: of all CD2 households, what fraction are expected to do their primary grocery shopping at store j? The sum_j S_j = 1 confirms every household is probabilistically allocated across all stores — no one is left out, no one is double-counted.</w:t>
      </w:r>
    </w:p>
    <w:p>
      <w:pPr>
        <w:ind w:left="432"/>
        <w:shd w:val="clear" w:color="auto" w:fill="EBF3FB"/>
      </w:pPr>
      <w:r>
        <w:rPr>
          <w:b/>
          <w:sz w:val="21"/>
        </w:rPr>
        <w:t xml:space="preserve">Note — Why this is the right approach: </w:t>
      </w:r>
      <w:r>
        <w:rPr>
          <w:sz w:val="21"/>
        </w:rPr>
        <w:t>A deterministic 1-to-1 assignment (e.g., assign each tract to its nearest store) ignores that some households have cars, prefer a particular ethnic food selection, or split trips across stores. The Gumbel error term epsilon_ij implicitly captures all this unobserved heterogeneity without requiring individual survey data.</w:t>
      </w:r>
    </w:p>
    <w:p>
      <w:r>
        <w:t>Source:</w:t>
        <w:br/>
        <w:t xml:space="preserve">  - Train (2009), Ch. 2 pp. 11-33, Section 2.2 'Properties of logit probabilities.'</w:t>
        <w:br/>
        <w:t xml:space="preserve">    https://eml.berkeley.edu/books/train1201.pdf</w:t>
      </w:r>
    </w:p>
    <w:p/>
    <w:p>
      <w:pPr>
        <w:pStyle w:val="Heading2"/>
      </w:pPr>
      <w:r>
        <w:t>Q6 — Eq 1.3.3d: where does the consumer surplus formula come from?</w:t>
      </w:r>
    </w:p>
    <w:p>
      <w:pPr>
        <w:ind w:left="504"/>
        <w:shd w:val="clear" w:color="auto" w:fill="EFEFEF"/>
      </w:pPr>
      <w:r>
        <w:rPr>
          <w:rFonts w:ascii="Courier New" w:hAnsi="Courier New"/>
          <w:sz w:val="19"/>
        </w:rPr>
        <w:t>DeltaCS = sum_i (n_i / beta_p_i) * [ln sum_k exp(V_ik_post) - ln sum_k exp(V_ik_pre)]</w:t>
      </w:r>
    </w:p>
    <w:p>
      <w:r>
        <w:t>This is the fully expanded form of Eq 1.1.5c — the two equations are identical. The derivation follows the same four steps as Q3:</w:t>
      </w:r>
    </w:p>
    <w:p>
      <w:pPr>
        <w:pStyle w:val="Heading3"/>
      </w:pPr>
      <w:r>
        <w:t>1. Expected maximum utility (Gumbel result)</w:t>
      </w:r>
    </w:p>
    <w:p>
      <w:pPr>
        <w:ind w:left="504"/>
        <w:shd w:val="clear" w:color="auto" w:fill="EFEFEF"/>
      </w:pPr>
      <w:r>
        <w:rPr>
          <w:rFonts w:ascii="Courier New" w:hAnsi="Courier New"/>
          <w:sz w:val="19"/>
        </w:rPr>
        <w:t>E[max_j U_ij] = ln(sum_k exp(V_ik)) + gamma     (gamma approx 0.5772)</w:t>
      </w:r>
    </w:p>
    <w:p>
      <w:pPr>
        <w:pStyle w:val="Heading3"/>
      </w:pPr>
      <w:r>
        <w:t>2. Convert to dollars</w:t>
      </w:r>
    </w:p>
    <w:p>
      <w:pPr>
        <w:ind w:left="504"/>
        <w:shd w:val="clear" w:color="auto" w:fill="EFEFEF"/>
      </w:pPr>
      <w:r>
        <w:rPr>
          <w:rFonts w:ascii="Courier New" w:hAnsi="Courier New"/>
          <w:sz w:val="19"/>
        </w:rPr>
        <w:t>W_i = (1/beta_p_i) * [logsum_i + gamma]</w:t>
      </w:r>
    </w:p>
    <w:p>
      <w:pPr>
        <w:pStyle w:val="Heading3"/>
      </w:pPr>
      <w:r>
        <w:t>3. Welfare change — gamma cancels exactly</w:t>
      </w:r>
    </w:p>
    <w:p>
      <w:pPr>
        <w:ind w:left="504"/>
        <w:shd w:val="clear" w:color="auto" w:fill="EFEFEF"/>
      </w:pPr>
      <w:r>
        <w:rPr>
          <w:rFonts w:ascii="Courier New" w:hAnsi="Courier New"/>
          <w:sz w:val="19"/>
        </w:rPr>
        <w:t>DeltaW_i = W_i_post - W_i_pre = (1/beta_p_i) * [logsum_post_i - logsum_pre_i]</w:t>
      </w:r>
    </w:p>
    <w:p>
      <w:pPr>
        <w:pStyle w:val="Heading3"/>
      </w:pPr>
      <w:r>
        <w:t>4. Aggregate over income groups</w:t>
      </w:r>
    </w:p>
    <w:p>
      <w:pPr>
        <w:ind w:left="504"/>
        <w:shd w:val="clear" w:color="auto" w:fill="EFEFEF"/>
      </w:pPr>
      <w:r>
        <w:rPr>
          <w:rFonts w:ascii="Courier New" w:hAnsi="Courier New"/>
          <w:sz w:val="19"/>
        </w:rPr>
        <w:t>DeltaCS = sum_i n_i * DeltaW_i</w:t>
        <w:br/>
        <w:t xml:space="preserve">        = sum_i (n_i / beta_p_i) * [logsum_post_i - logsum_pre_i]</w:t>
      </w:r>
    </w:p>
    <w:p>
      <w:pPr>
        <w:ind w:left="432"/>
        <w:shd w:val="clear" w:color="auto" w:fill="EBF3FB"/>
      </w:pPr>
      <w:r>
        <w:rPr>
          <w:b/>
          <w:sz w:val="21"/>
        </w:rPr>
        <w:t xml:space="preserve">Note — Connection to intro-micro consumer surplus: </w:t>
      </w:r>
      <w:r>
        <w:rPr>
          <w:sz w:val="21"/>
        </w:rPr>
        <w:t>In intro micro, DeltaCS approx -DeltaP x Q. The logsum captures more: it rises when (a) store j* gets cheaper for current shoppers, AND (b) previously unattractive store j* becomes worth visiting for others. Small &amp; Rosen (1981) proved this satisfies Roy's Identity and path-independence — the exact discrete-choice equivalent of compensating variation.</w:t>
      </w:r>
    </w:p>
    <w:p>
      <w:r>
        <w:t>Foundational sources for Eq 1.3.3d:</w:t>
        <w:br/>
        <w:t xml:space="preserve">  - Small, K.A. &amp; Rosen, H.S. (1981). Applied welfare economics with discrete choice models.</w:t>
        <w:br/>
        <w:t xml:space="preserve">    Econometrica, 49(1), 105-130. https://www.jstor.org/stable/1911129</w:t>
        <w:br/>
        <w:t xml:space="preserve">    Equation (3) in this paper is directly equivalent to Eq 1.3.3d. Canonical citation.</w:t>
        <w:br/>
        <w:t xml:space="preserve">  - Williams, H.C.W.L. (1977). Environment and Planning A, 9(3), 285-344.</w:t>
        <w:br/>
        <w:t xml:space="preserve">    https://journals.sagepub.com/doi/10.1068/a090285</w:t>
        <w:br/>
        <w:t xml:space="preserve">  - Train (2009), Ch. 3 'Welfare,' pp. 55-79. https://eml.berkeley.edu/books/train1201.pdf</w:t>
        <w:br/>
        <w:t xml:space="preserve">    Section 3.1 walks through the four-step derivation above.</w:t>
      </w:r>
    </w:p>
    <w:p/>
    <w:p>
      <w:pPr>
        <w:pStyle w:val="Heading2"/>
      </w:pPr>
      <w:r>
        <w:t>Quick Reference — Equation Origins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Equation</w:t>
            </w:r>
          </w:p>
        </w:tc>
        <w:tc>
          <w:tcPr>
            <w:tcW w:type="dxa" w:w="3024"/>
          </w:tcPr>
          <w:p>
            <w:r>
              <w:rPr>
                <w:b/>
              </w:rPr>
              <w:t>Name</w:t>
            </w:r>
          </w:p>
        </w:tc>
        <w:tc>
          <w:tcPr>
            <w:tcW w:type="dxa" w:w="3024"/>
          </w:tcPr>
          <w:p>
            <w:r>
              <w:rPr>
                <w:b/>
              </w:rPr>
              <w:t>Key source(s)</w:t>
            </w:r>
          </w:p>
        </w:tc>
      </w:tr>
      <w:tr>
        <w:tc>
          <w:tcPr>
            <w:tcW w:type="dxa" w:w="3024"/>
          </w:tcPr>
          <w:p>
            <w:r>
              <w:t>1.1.1b</w:t>
            </w:r>
          </w:p>
        </w:tc>
        <w:tc>
          <w:tcPr>
            <w:tcW w:type="dxa" w:w="3024"/>
          </w:tcPr>
          <w:p>
            <w:r>
              <w:t>epsilon_ij ~ Gumbel(0,1)</w:t>
            </w:r>
          </w:p>
        </w:tc>
        <w:tc>
          <w:tcPr>
            <w:tcW w:type="dxa" w:w="3024"/>
          </w:tcPr>
          <w:p>
            <w:r>
              <w:t>McFadden (1974); Train (2009) Ch. 2</w:t>
            </w:r>
          </w:p>
        </w:tc>
      </w:tr>
      <w:tr>
        <w:tc>
          <w:tcPr>
            <w:tcW w:type="dxa" w:w="3024"/>
          </w:tcPr>
          <w:p>
            <w:r>
              <w:t>1.1.3</w:t>
            </w:r>
          </w:p>
        </w:tc>
        <w:tc>
          <w:tcPr>
            <w:tcW w:type="dxa" w:w="3024"/>
          </w:tcPr>
          <w:p>
            <w:r>
              <w:t>Logit choice probability s_ij</w:t>
            </w:r>
          </w:p>
        </w:tc>
        <w:tc>
          <w:tcPr>
            <w:tcW w:type="dxa" w:w="3024"/>
          </w:tcPr>
          <w:p>
            <w:r>
              <w:t>McFadden (1974); Ben-Akiva &amp; Lerman (1985)</w:t>
            </w:r>
          </w:p>
        </w:tc>
      </w:tr>
      <w:tr>
        <w:tc>
          <w:tcPr>
            <w:tcW w:type="dxa" w:w="3024"/>
          </w:tcPr>
          <w:p>
            <w:r>
              <w:t>1.1.4</w:t>
            </w:r>
          </w:p>
        </w:tc>
        <w:tc>
          <w:tcPr>
            <w:tcW w:type="dxa" w:w="3024"/>
          </w:tcPr>
          <w:p>
            <w:r>
              <w:t>Aggregate market share S_j</w:t>
            </w:r>
          </w:p>
        </w:tc>
        <w:tc>
          <w:tcPr>
            <w:tcW w:type="dxa" w:w="3024"/>
          </w:tcPr>
          <w:p>
            <w:r>
              <w:t>Train (2009) Ch. 9</w:t>
            </w:r>
          </w:p>
        </w:tc>
      </w:tr>
      <w:tr>
        <w:tc>
          <w:tcPr>
            <w:tcW w:type="dxa" w:w="3024"/>
          </w:tcPr>
          <w:p>
            <w:r>
              <w:t>1.1.5a</w:t>
            </w:r>
          </w:p>
        </w:tc>
        <w:tc>
          <w:tcPr>
            <w:tcW w:type="dxa" w:w="3024"/>
          </w:tcPr>
          <w:p>
            <w:r>
              <w:t>Welfare level W_i = logsum / beta_p</w:t>
            </w:r>
          </w:p>
        </w:tc>
        <w:tc>
          <w:tcPr>
            <w:tcW w:type="dxa" w:w="3024"/>
          </w:tcPr>
          <w:p>
            <w:r>
              <w:t>Small &amp; Rosen (1981); Williams (1977)</w:t>
            </w:r>
          </w:p>
        </w:tc>
      </w:tr>
      <w:tr>
        <w:tc>
          <w:tcPr>
            <w:tcW w:type="dxa" w:w="3024"/>
          </w:tcPr>
          <w:p>
            <w:r>
              <w:t>1.1.5b/c = 1.3.3d</w:t>
            </w:r>
          </w:p>
        </w:tc>
        <w:tc>
          <w:tcPr>
            <w:tcW w:type="dxa" w:w="3024"/>
          </w:tcPr>
          <w:p>
            <w:r>
              <w:t>DeltaCS = sum (n_i/beta_p_i)*Deltalogsum</w:t>
            </w:r>
          </w:p>
        </w:tc>
        <w:tc>
          <w:tcPr>
            <w:tcW w:type="dxa" w:w="3024"/>
          </w:tcPr>
          <w:p>
            <w:r>
              <w:t>Small &amp; Rosen (1981); Train (2009) Ch. 3</w:t>
            </w:r>
          </w:p>
        </w:tc>
      </w:tr>
      <w:tr>
        <w:tc>
          <w:tcPr>
            <w:tcW w:type="dxa" w:w="3024"/>
          </w:tcPr>
          <w:p>
            <w:r>
              <w:t>1.3.1</w:t>
            </w:r>
          </w:p>
        </w:tc>
        <w:tc>
          <w:tcPr>
            <w:tcW w:type="dxa" w:w="3024"/>
          </w:tcPr>
          <w:p>
            <w:r>
              <w:t>Price reduction Deltap_j = theta*s/Q_j</w:t>
            </w:r>
          </w:p>
        </w:tc>
        <w:tc>
          <w:tcPr>
            <w:tcW w:type="dxa" w:w="3024"/>
          </w:tcPr>
          <w:p>
            <w:r>
              <w:t>Besanko et al. (2005); Nakamura &amp; Zerom (2010)</w:t>
            </w:r>
          </w:p>
        </w:tc>
      </w:tr>
    </w:tbl>
    <w:p/>
    <w:p>
      <w:r>
        <w:br w:type="page"/>
      </w:r>
    </w:p>
    <w:p>
      <w:pPr>
        <w:pStyle w:val="Heading1"/>
      </w:pPr>
      <w:r>
        <w:t>Follow-up Questions</w:t>
      </w:r>
    </w:p>
    <w:p/>
    <w:p>
      <w:pPr>
        <w:pStyle w:val="Heading2"/>
      </w:pPr>
      <w:r>
        <w:t>FQ1 — Can each tract x income group be its own consumer? (16 x 3 = 48 types)</w:t>
      </w:r>
    </w:p>
    <w:p>
      <w:r>
        <w:t>Yes — this is exactly the LEVEL_2 approach, and it is strictly better than either pure option alone. Each of the 48 (tract, income group) combinations becomes its own consumer type i, with its own location centroid, household count n_i, and beta values. The number of (i, j) pairs becomes 48 x J.</w:t>
      </w:r>
    </w:p>
    <w:p>
      <w:pPr>
        <w:pStyle w:val="Heading3"/>
      </w:pPr>
      <w:r>
        <w:t>What needs to change in the model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Element</w:t>
            </w:r>
          </w:p>
        </w:tc>
        <w:tc>
          <w:tcPr>
            <w:tcW w:type="dxa" w:w="3024"/>
          </w:tcPr>
          <w:p>
            <w:r>
              <w:rPr>
                <w:b/>
              </w:rPr>
              <w:t>Current LEVEL_1 (3 groups)</w:t>
            </w:r>
          </w:p>
        </w:tc>
        <w:tc>
          <w:tcPr>
            <w:tcW w:type="dxa" w:w="3024"/>
          </w:tcPr>
          <w:p>
            <w:r>
              <w:rPr>
                <w:b/>
              </w:rPr>
              <w:t>16 x 3 = 48 consumer types</w:t>
            </w:r>
          </w:p>
        </w:tc>
      </w:tr>
      <w:tr>
        <w:tc>
          <w:tcPr>
            <w:tcW w:type="dxa" w:w="3024"/>
          </w:tcPr>
          <w:p>
            <w:r>
              <w:t>Consumer index i</w:t>
            </w:r>
          </w:p>
        </w:tc>
        <w:tc>
          <w:tcPr>
            <w:tcW w:type="dxa" w:w="3024"/>
          </w:tcPr>
          <w:p>
            <w:r>
              <w:t>3 income groups (CD2-wide)</w:t>
            </w:r>
          </w:p>
        </w:tc>
        <w:tc>
          <w:tcPr>
            <w:tcW w:type="dxa" w:w="3024"/>
          </w:tcPr>
          <w:p>
            <w:r>
              <w:t>48 (tract, income group) pairs</w:t>
            </w:r>
          </w:p>
        </w:tc>
      </w:tr>
      <w:tr>
        <w:tc>
          <w:tcPr>
            <w:tcW w:type="dxa" w:w="3024"/>
          </w:tcPr>
          <w:p>
            <w:r>
              <w:t>n_i</w:t>
            </w:r>
          </w:p>
        </w:tc>
        <w:tc>
          <w:tcPr>
            <w:tcW w:type="dxa" w:w="3024"/>
          </w:tcPr>
          <w:p>
            <w:r>
              <w:t>CD2-total HH per income group</w:t>
            </w:r>
          </w:p>
        </w:tc>
        <w:tc>
          <w:tcPr>
            <w:tcW w:type="dxa" w:w="3024"/>
          </w:tcPr>
          <w:p>
            <w:r>
              <w:t>HH per income bracket per tract (ACS B19001 by tract)</w:t>
            </w:r>
          </w:p>
        </w:tc>
      </w:tr>
      <w:tr>
        <w:tc>
          <w:tcPr>
            <w:tcW w:type="dxa" w:w="3024"/>
          </w:tcPr>
          <w:p>
            <w:r>
              <w:t>d_ij</w:t>
            </w:r>
          </w:p>
        </w:tc>
        <w:tc>
          <w:tcPr>
            <w:tcW w:type="dxa" w:w="3024"/>
          </w:tcPr>
          <w:p>
            <w:r>
              <w:t>CD2 centroid to store j</w:t>
            </w:r>
          </w:p>
        </w:tc>
        <w:tc>
          <w:tcPr>
            <w:tcW w:type="dxa" w:w="3024"/>
          </w:tcPr>
          <w:p>
            <w:r>
              <w:t>Each tract centroid to store j (more spatially accurate)</w:t>
            </w:r>
          </w:p>
        </w:tc>
      </w:tr>
      <w:tr>
        <w:tc>
          <w:tcPr>
            <w:tcW w:type="dxa" w:w="3024"/>
          </w:tcPr>
          <w:p>
            <w:r>
              <w:t>beta_p_i, beta_d_i</w:t>
            </w:r>
          </w:p>
        </w:tc>
        <w:tc>
          <w:tcPr>
            <w:tcW w:type="dxa" w:w="3024"/>
          </w:tcPr>
          <w:p>
            <w:r>
              <w:t>One beta per income group (3 vals)</w:t>
            </w:r>
          </w:p>
        </w:tc>
        <w:tc>
          <w:tcPr>
            <w:tcW w:type="dxa" w:w="3024"/>
          </w:tcPr>
          <w:p>
            <w:r>
              <w:t>Same beta per income group, repeated across 16 tracts</w:t>
            </w:r>
          </w:p>
        </w:tc>
      </w:tr>
      <w:tr>
        <w:tc>
          <w:tcPr>
            <w:tcW w:type="dxa" w:w="3024"/>
          </w:tcPr>
          <w:p>
            <w:r>
              <w:t>V_ij matrix shape</w:t>
            </w:r>
          </w:p>
        </w:tc>
        <w:tc>
          <w:tcPr>
            <w:tcW w:type="dxa" w:w="3024"/>
          </w:tcPr>
          <w:p>
            <w:r>
              <w:t>(3, J)</w:t>
            </w:r>
          </w:p>
        </w:tc>
        <w:tc>
          <w:tcPr>
            <w:tcW w:type="dxa" w:w="3024"/>
          </w:tcPr>
          <w:p>
            <w:r>
              <w:t>(48, J)</w:t>
            </w:r>
          </w:p>
        </w:tc>
      </w:tr>
      <w:tr>
        <w:tc>
          <w:tcPr>
            <w:tcW w:type="dxa" w:w="3024"/>
          </w:tcPr>
          <w:p>
            <w:r>
              <w:t>logsum vector shape</w:t>
            </w:r>
          </w:p>
        </w:tc>
        <w:tc>
          <w:tcPr>
            <w:tcW w:type="dxa" w:w="3024"/>
          </w:tcPr>
          <w:p>
            <w:r>
              <w:t>(3,)</w:t>
            </w:r>
          </w:p>
        </w:tc>
        <w:tc>
          <w:tcPr>
            <w:tcW w:type="dxa" w:w="3024"/>
          </w:tcPr>
          <w:p>
            <w:r>
              <w:t>(48,)</w:t>
            </w:r>
          </w:p>
        </w:tc>
      </w:tr>
      <w:tr>
        <w:tc>
          <w:tcPr>
            <w:tcW w:type="dxa" w:w="3024"/>
          </w:tcPr>
          <w:p>
            <w:r>
              <w:t>DeltaCS formula</w:t>
            </w:r>
          </w:p>
        </w:tc>
        <w:tc>
          <w:tcPr>
            <w:tcW w:type="dxa" w:w="3024"/>
          </w:tcPr>
          <w:p>
            <w:r>
              <w:t>Sum_{i=1}^{3}  (n_i/beta_p_i)*Dlogsum_i</w:t>
            </w:r>
          </w:p>
        </w:tc>
        <w:tc>
          <w:tcPr>
            <w:tcW w:type="dxa" w:w="3024"/>
          </w:tcPr>
          <w:p>
            <w:r>
              <w:t>Sum_{i=1}^{48} (n_i/beta_p_i)*Dlogsum_i</w:t>
            </w:r>
          </w:p>
        </w:tc>
      </w:tr>
    </w:tbl>
    <w:p/>
    <w:p>
      <w:pPr>
        <w:ind w:left="432"/>
        <w:shd w:val="clear" w:color="auto" w:fill="EBF3FB"/>
      </w:pPr>
      <w:r>
        <w:rPr>
          <w:b/>
          <w:sz w:val="21"/>
        </w:rPr>
        <w:t xml:space="preserve">Note — Why this is worth doing: </w:t>
      </w:r>
      <w:r>
        <w:rPr>
          <w:sz w:val="21"/>
        </w:rPr>
        <w:t>Tracts in Hunts Point vary substantially in their distance to each store. A household in the northern part of CD2 may be 20 minutes from the Peninsula site while one in the south is 5 minutes. Collapsing to a single CD2 centroid underestimates welfare gains for nearby tracts and overestimates them for distant ones. The 48-type model adds spatial precision at negligible computational cost — the formulas are identical, just with 48 rows instead of 3.</w:t>
      </w:r>
    </w:p>
    <w:p>
      <w:r>
        <w:t>Data source: ACS 5-Year Table B19001 at the census tract level, filtered to BoroCD = 202. Each tract provides a centroid (Census TIGER) and household counts by income bracket.</w:t>
      </w:r>
    </w:p>
    <w:p/>
    <w:p>
      <w:pPr>
        <w:pStyle w:val="Heading2"/>
      </w:pPr>
      <w:r>
        <w:t>FQ3 — RFP-informed update to pass-through and the subsidy formula</w:t>
      </w:r>
    </w:p>
    <w:p>
      <w:r>
        <w:t>The N.Y.C. Groceries RFP fundamentally changes the pass-through model. The current model assumes market-determined pass-through (theta approx 0.65) where the store chooses how much of a cost saving to pass on. The RFP replaces this with a contractually mandated 30%% price reduction on Core Basket items, fully backstopped by NYCEDC.</w:t>
      </w:r>
    </w:p>
    <w:p>
      <w:pPr>
        <w:pStyle w:val="Heading3"/>
      </w:pPr>
      <w:r>
        <w:t>Key RFP facts and model implications</w:t>
      </w:r>
    </w:p>
    <w:tbl>
      <w:tblPr>
        <w:tblStyle w:val="LightGrid-Accent1"/>
        <w:tblW w:type="auto" w:w="0"/>
        <w:tblLook w:firstColumn="1" w:firstRow="1" w:lastColumn="0" w:lastRow="0" w:noHBand="0" w:noVBand="1" w:val="04A0"/>
      </w:tblPr>
      <w:tblGrid>
        <w:gridCol w:w="4536"/>
        <w:gridCol w:w="4536"/>
      </w:tblGrid>
      <w:tr>
        <w:tc>
          <w:tcPr>
            <w:tcW w:type="dxa" w:w="4536"/>
          </w:tcPr>
          <w:p>
            <w:r>
              <w:rPr>
                <w:b/>
              </w:rPr>
              <w:t>RFP commitment</w:t>
            </w:r>
          </w:p>
        </w:tc>
        <w:tc>
          <w:tcPr>
            <w:tcW w:type="dxa" w:w="4536"/>
          </w:tcPr>
          <w:p>
            <w:r>
              <w:rPr>
                <w:b/>
              </w:rPr>
              <w:t>Model implication</w:t>
            </w:r>
          </w:p>
        </w:tc>
      </w:tr>
      <w:tr>
        <w:tc>
          <w:tcPr>
            <w:tcW w:type="dxa" w:w="4536"/>
          </w:tcPr>
          <w:p>
            <w:r>
              <w:t>Core Basket prices set at 30%% below retail (monthly reset)</w:t>
            </w:r>
          </w:p>
        </w:tc>
        <w:tc>
          <w:tcPr>
            <w:tcW w:type="dxa" w:w="4536"/>
          </w:tcPr>
          <w:p>
            <w:r>
              <w:t>Delta_p_core = 0.30 x p_core  (fixed, not market-determined)</w:t>
            </w:r>
          </w:p>
        </w:tc>
      </w:tr>
      <w:tr>
        <w:tc>
          <w:tcPr>
            <w:tcW w:type="dxa" w:w="4536"/>
          </w:tcPr>
          <w:p>
            <w:r>
              <w:t>NYCEDC pays all rent: s_rent = Rent_j</w:t>
            </w:r>
          </w:p>
        </w:tc>
        <w:tc>
          <w:tcPr>
            <w:tcW w:type="dxa" w:w="4536"/>
          </w:tcPr>
          <w:p>
            <w:r>
              <w:t>Rent subsidy is the primary s component</w:t>
            </w:r>
          </w:p>
        </w:tc>
      </w:tr>
      <w:tr>
        <w:tc>
          <w:tcPr>
            <w:tcW w:type="dxa" w:w="4536"/>
          </w:tcPr>
          <w:p>
            <w:r>
              <w:t>NYCEDC pays all property taxes: s_tax = Tax_j</w:t>
            </w:r>
          </w:p>
        </w:tc>
        <w:tc>
          <w:tcPr>
            <w:tcW w:type="dxa" w:w="4536"/>
          </w:tcPr>
          <w:p>
            <w:r>
              <w:t>Tax relief is the second s component</w:t>
            </w:r>
          </w:p>
        </w:tc>
      </w:tr>
      <w:tr>
        <w:tc>
          <w:tcPr>
            <w:tcW w:type="dxa" w:w="4536"/>
          </w:tcPr>
          <w:p>
            <w:r>
              <w:t>Affordability Payment covers any remaining gap to reach 30%%</w:t>
            </w:r>
          </w:p>
        </w:tc>
        <w:tc>
          <w:tcPr>
            <w:tcW w:type="dxa" w:w="4536"/>
          </w:tcPr>
          <w:p>
            <w:r>
              <w:t>theta = 1.0 for Core Basket; NYCEDC absorbs all residual loss</w:t>
            </w:r>
          </w:p>
        </w:tc>
      </w:tr>
      <w:tr>
        <w:tc>
          <w:tcPr>
            <w:tcW w:type="dxa" w:w="4536"/>
          </w:tcPr>
          <w:p>
            <w:r>
              <w:t>Non-Core Basket items priced at typical NYC retail</w:t>
            </w:r>
          </w:p>
        </w:tc>
        <w:tc>
          <w:tcPr>
            <w:tcW w:type="dxa" w:w="4536"/>
          </w:tcPr>
          <w:p>
            <w:r>
              <w:t>No price reduction for approx 40-60%% of store revenue</w:t>
            </w:r>
          </w:p>
        </w:tc>
      </w:tr>
    </w:tbl>
    <w:p/>
    <w:p>
      <w:pPr>
        <w:pStyle w:val="Heading3"/>
      </w:pPr>
      <w:r>
        <w:t>Revised pass-through formula</w:t>
      </w:r>
    </w:p>
    <w:p>
      <w:r>
        <w:t>Replace:  Delta_p_j = theta * s / Q_j  with:</w:t>
      </w:r>
    </w:p>
    <w:p>
      <w:pPr>
        <w:ind w:left="504"/>
        <w:shd w:val="clear" w:color="auto" w:fill="EFEFEF"/>
      </w:pPr>
      <w:r>
        <w:rPr>
          <w:rFonts w:ascii="Courier New" w:hAnsi="Courier New"/>
          <w:sz w:val="19"/>
        </w:rPr>
        <w:t>Delta_p_j = 0.30 x p_core_j x core_basket_share_j</w:t>
      </w:r>
    </w:p>
    <w:p>
      <w:r>
        <w:t>where core_basket_share_j = Core Basket revenue / total revenue approx 40-60%% depending on store type and SKU mix.</w:t>
      </w:r>
    </w:p>
    <w:p>
      <w:r>
        <w:t>The required total subsidy to fund this price reduction is:</w:t>
      </w:r>
    </w:p>
    <w:p>
      <w:pPr>
        <w:pStyle w:val="Heading2"/>
      </w:pPr>
      <w:r>
        <w:t>FQ2 — Why only SNAP stores? Don't customers also go to the other 137 stores?</w:t>
      </w:r>
    </w:p>
    <w:p>
      <w:r>
        <w:t>Customers absolutely go to non-SNAP stores. The SNAP filter is a policy convenience, not an economic necessity.</w:t>
      </w:r>
    </w:p>
    <w:p>
      <w:pPr>
        <w:pStyle w:val="Heading3"/>
      </w:pPr>
      <w:r>
        <w:t>Why the model uses only SNAP stores</w:t>
      </w:r>
    </w:p>
    <w:p>
      <w:r>
        <w:t>SNAP authorization (USDA SNAP Retailer Locator) is the only filter the model spec justifies — stores must meet federal stocking requirements, making it a rough proxy for 'full-service food store.' But this is not the only or best available source.</w:t>
      </w:r>
    </w:p>
    <w:p>
      <w:pPr>
        <w:pStyle w:val="Heading3"/>
      </w:pPr>
      <w:r>
        <w:t>The legitimate problem with this restriction</w:t>
      </w:r>
    </w:p>
    <w:p>
      <w:r>
        <w:t>If there are 137 stores in CD2 that residents actually visit, excluding them from the logit choice set violates the assumption that J covers all relevant alternatives:</w:t>
        <w:br/>
        <w:t xml:space="preserve">  (1) Biased market shares: excluding stores artificially inflates probabilities for included stores (s_ij sums to 1; denominator is too small).</w:t>
        <w:br/>
        <w:t xml:space="preserve">  (2) Overstated welfare gains: the logsum increases more when J is smaller, so excluding real alternatives inflates DeltaCS.</w:t>
      </w:r>
    </w:p>
    <w:p>
      <w:pPr>
        <w:pStyle w:val="Heading3"/>
      </w:pPr>
      <w:r>
        <w:t>The 137 stores are already in the project — from NYS Ag &amp; Markets</w:t>
      </w:r>
    </w:p>
    <w:p>
      <w:r>
        <w:t>The 137 stores are the NYS Department of Agriculture and Markets (Ag &amp; Markets) 'Retail Food Store' licensed establishments, already downloaded to data/stores/agmarkets_bronx_cd2.csv in Phase 2. Ag &amp; Markets is the preferred primary source because its license category is defined as stores selling food primarily for off-premises consumption. It is not restaurant-inspection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CD2 stores found</w:t>
            </w:r>
          </w:p>
        </w:tc>
        <w:tc>
          <w:tcPr>
            <w:tcW w:type="dxa" w:w="2880"/>
          </w:tcPr>
          <w:p>
            <w:r>
              <w:rPr>
                <w:b/>
              </w:rPr>
              <w:t>Notes</w:t>
            </w:r>
          </w:p>
        </w:tc>
      </w:tr>
      <w:tr>
        <w:tc>
          <w:tcPr>
            <w:tcW w:type="dxa" w:w="2880"/>
          </w:tcPr>
          <w:p>
            <w:r>
              <w:t>NYS Ag &amp; Markets (agmarkets_bronx_cd2.csv)</w:t>
            </w:r>
          </w:p>
        </w:tc>
        <w:tc>
          <w:tcPr>
            <w:tcW w:type="dxa" w:w="2880"/>
          </w:tcPr>
          <w:p>
            <w:r>
              <w:t>137</w:t>
            </w:r>
          </w:p>
        </w:tc>
        <w:tc>
          <w:tcPr>
            <w:tcW w:type="dxa" w:w="2880"/>
          </w:tcPr>
          <w:p>
            <w:r>
              <w:t>Retail Food Store license; has square footage; best coverage</w:t>
            </w:r>
          </w:p>
        </w:tc>
      </w:tr>
      <w:tr>
        <w:tc>
          <w:tcPr>
            <w:tcW w:type="dxa" w:w="2880"/>
          </w:tcPr>
          <w:p>
            <w:r>
              <w:t>USDA SNAP Retailer Locator</w:t>
            </w:r>
          </w:p>
        </w:tc>
        <w:tc>
          <w:tcPr>
            <w:tcW w:type="dxa" w:w="2880"/>
          </w:tcPr>
          <w:p>
            <w:r>
              <w:t>553 raw / ~97 active</w:t>
            </w:r>
          </w:p>
        </w:tc>
        <w:tc>
          <w:tcPr>
            <w:tcW w:type="dxa" w:w="2880"/>
          </w:tcPr>
          <w:p>
            <w:r>
              <w:t>456 of 553 have an End Date (closed); no square footage</w:t>
            </w:r>
          </w:p>
        </w:tc>
      </w:tr>
      <w:tr>
        <w:tc>
          <w:tcPr>
            <w:tcW w:type="dxa" w:w="2880"/>
          </w:tcPr>
          <w:p>
            <w:r>
              <w:t>NYC DOHMH (Restaurant Inspection Results)</w:t>
            </w:r>
          </w:p>
        </w:tc>
        <w:tc>
          <w:tcPr>
            <w:tcW w:type="dxa" w:w="2880"/>
          </w:tcPr>
          <w:p>
            <w:r>
              <w:t>9</w:t>
            </w:r>
          </w:p>
        </w:tc>
        <w:tc>
          <w:tcPr>
            <w:tcW w:type="dxa" w:w="2880"/>
          </w:tcPr>
          <w:p>
            <w:r>
              <w:t>Restaurant/food-service oriented; sparse for grocery retail</w:t>
            </w:r>
          </w:p>
        </w:tc>
      </w:tr>
    </w:tbl>
    <w:p/>
    <w:p>
      <w:r>
        <w:t>The project's Phase 2 report concludes: 'Ag &amp; Markets remains the cleanest licensed retail-food universe for CD2.' DOHMH returned only 9 stores and should be treated as a narrow supplement, not a primary source.</w:t>
      </w:r>
    </w:p>
    <w:p>
      <w:pPr>
        <w:ind w:left="432"/>
        <w:shd w:val="clear" w:color="auto" w:fill="EBF3FB"/>
      </w:pPr>
      <w:r>
        <w:rPr>
          <w:b/>
          <w:sz w:val="21"/>
        </w:rPr>
        <w:t xml:space="preserve">Note — Caveat — Ag &amp; Markets includes non-consumer-facing entries (Issue #10): </w:t>
      </w:r>
      <w:r>
        <w:rPr>
          <w:sz w:val="21"/>
        </w:rPr>
        <w:t>The raw 137 includes Hunts Point food market operators, wholesalers, and at least one Amazon fulfilment warehouse (PRIME NOW LLC, 180,000 sq ft). Cross-match Ag &amp; Markets + active SNAP + DOHMH on BBL or address and drop warehouses, wholesalers, and manufacturers. Expected clean J: 15-30 consumer-facing food retailers. (Documented in ISSUES_AND_GAPS.md, Issue #10.)</w:t>
      </w:r>
    </w:p>
    <w:p>
      <w:pPr>
        <w:pStyle w:val="Heading3"/>
      </w:pPr>
      <w:r>
        <w:t>Recommended source hierarchy for building J</w:t>
      </w:r>
    </w:p>
    <w:p>
      <w:r>
        <w:t>(1) Ag &amp; Markets — base universe; filter to consumer-facing retail by sq-ft and name.</w:t>
        <w:br/>
        <w:t>(2) SNAP active-only (~97) — secondary check; any store in both Ag &amp; Markets and active SNAP is almost certainly a real grocery store.</w:t>
        <w:br/>
        <w:t>(3) DOHMH (9 stores) — narrow supplement to validate the cleaned list; should not drive it.</w:t>
      </w:r>
    </w:p>
    <w:p>
      <w:pPr>
        <w:pStyle w:val="Heading3"/>
      </w:pPr>
      <w:r>
        <w:t>In the context of the N.Y.C. Groceries RFP</w:t>
      </w:r>
    </w:p>
    <w:p>
      <w:r>
        <w:t>The RFP is for a new purpose-built store at 1215 Spofford Avenue. The RFP notes the area is 'currently served by a single grocery store on Hunts Point Avenue,' suggesting effective competition is already very limited. The cleaned Ag &amp; Markets list will confirm this and quantify the competitive landscape.</w:t>
      </w:r>
    </w:p>
    <w:p/>
    <w:p>
      <w:pPr>
        <w:ind w:left="504"/>
        <w:shd w:val="clear" w:color="auto" w:fill="EFEFEF"/>
      </w:pPr>
      <w:r>
        <w:rPr>
          <w:rFonts w:ascii="Courier New" w:hAnsi="Courier New"/>
          <w:sz w:val="19"/>
        </w:rPr>
        <w:t>s_total = max(0,  0.30 x p_core_j x Q_core_j  -  Rent_j  -  Tax_j)  +  AffordabilityPayment_j</w:t>
      </w:r>
    </w:p>
    <w:p>
      <w:pPr>
        <w:pStyle w:val="Heading3"/>
      </w:pPr>
      <w:r>
        <w:t>Revised model structure (flip the causal direction)</w:t>
      </w:r>
    </w:p>
    <w:p>
      <w:r>
        <w:t>The current model runs forward: s -&gt; Delta_p. Under the RFP, the logic runs backward: the price reduction is fixed at 30%%, and the model should solve for the required s.</w:t>
      </w:r>
    </w:p>
    <w:p>
      <w:pPr>
        <w:ind w:left="504"/>
        <w:shd w:val="clear" w:color="auto" w:fill="EFEFEF"/>
      </w:pPr>
      <w:r>
        <w:rPr>
          <w:rFonts w:ascii="Courier New" w:hAnsi="Courier New"/>
          <w:sz w:val="19"/>
        </w:rPr>
        <w:t>Goal 1 revised: find s* = 0.30 x p_core x Q_core - Rent_j - Tax_j</w:t>
        <w:br/>
        <w:t>Goal 2 revised: which store minimizes s* for a given DeltaCS threshold?</w:t>
      </w:r>
    </w:p>
    <w:p>
      <w:pPr>
        <w:ind w:left="432"/>
        <w:shd w:val="clear" w:color="auto" w:fill="EBF3FB"/>
      </w:pPr>
      <w:r>
        <w:rPr>
          <w:b/>
          <w:sz w:val="21"/>
        </w:rPr>
        <w:t xml:space="preserve">Note — What theta becomes in the RFP context: </w:t>
      </w:r>
      <w:r>
        <w:rPr>
          <w:sz w:val="21"/>
        </w:rPr>
        <w:t>Under the RFP, the effective pass-through for Core Basket items is theta = 1.0 (NYCEDC guarantees full pass-through via Affordability Payments). For non-Core Basket items, theta = 0 (operator prices at market). The effective whole-store theta is therefore: theta_effective = 1.0 x core_basket_share + 0 x (1 - core_basket_share) = core_basket_share approx 0.40-0.60. This is lower than the model's assumed 0.65 for stores where non-core items dominate sales.</w:t>
      </w:r>
    </w:p>
    <w:p>
      <w:r>
        <w:t>Sources (RFP):</w:t>
        <w:br/>
        <w:t xml:space="preserve">  - RFP p. 12 (Core Basket 30%% discount mandate)</w:t>
        <w:br/>
        <w:t xml:space="preserve">  - RFP p. 7 (rent + property tax fully covered)</w:t>
        <w:br/>
        <w:t xml:space="preserve">  - RFP Q&amp;A #2, #4, #9 (Affordability Payments cover gap to 30%%)</w:t>
        <w:br/>
        <w:t xml:space="preserve">  - RFP Appendix E (Affordability Payment Estimate Assumptions Table)</w:t>
      </w:r>
    </w:p>
    <w:p/>
    <w:p>
      <w:pPr>
        <w:pStyle w:val="Heading2"/>
      </w:pPr>
      <w:r>
        <w:t>FQ4 — Is beta_p_i price sensitivity or marginal utility of income? What is gamma?</w:t>
      </w:r>
    </w:p>
    <w:p>
      <w:pPr>
        <w:pStyle w:val="Heading3"/>
      </w:pPr>
      <w:r>
        <w:t>beta_p_i — both characterizations are correct</w:t>
      </w:r>
    </w:p>
    <w:p>
      <w:r>
        <w:t>In the demand equation (Eq 1.1.1a): beta_p_i is the rate at which utility falls per additional dollar of basket price. This is precisely 'price sensitivity' — a higher beta_p means a $1 price increase hurts more.</w:t>
      </w:r>
    </w:p>
    <w:p>
      <w:r>
        <w:t>In the welfare formula (Eq 1.1.5a-c): the same beta_p_i appears in the denominator 1/beta_p_i, which converts utility units to dollars. This is the role of the marginal utility of income (lambda in standard consumer theory).</w:t>
      </w:r>
    </w:p>
    <w:p>
      <w:r>
        <w:t>The two are the same number because of Roy's Identity: in a model where the consumer maximizes utility subject to a budget constraint, the marginal utility of an additional dollar of income equals the marginal utility of a one-dollar price reduction. In the linear utility model here, that marginal utility of income IS beta_p_i.</w:t>
      </w:r>
    </w:p>
    <w:p>
      <w:pPr>
        <w:ind w:left="504"/>
        <w:shd w:val="clear" w:color="auto" w:fill="EFEFEF"/>
      </w:pPr>
      <w:r>
        <w:rPr>
          <w:rFonts w:ascii="Courier New" w:hAnsi="Courier New"/>
          <w:sz w:val="19"/>
        </w:rPr>
        <w:t>Roy's Identity:  dV/d(income) = beta_p_i  (same coefficient as dV/d(price), opposite sign)</w:t>
        <w:br/>
        <w:t>=&gt; 1 dollar of income gain ~ 1 dollar of price reduction in utility impact</w:t>
        <w:br/>
        <w:t>=&gt; 1 util = 1/beta_p_i dollars</w:t>
      </w:r>
    </w:p>
    <w:p>
      <w:r>
        <w:t>Practical consequence: a low-income household with beta_p_i = 0.55 values each util at $1/0.55 = $1.82. A high-income household with beta_p_i = 0.15 values each util at $1/0.15 = $6.67. This means the logsum formula attributes more dollar value to the same utility gain for high-income households — one reason the spec tracks the 'pct_low' metric.</w:t>
      </w:r>
    </w:p>
    <w:p>
      <w:pPr>
        <w:ind w:left="432"/>
        <w:shd w:val="clear" w:color="auto" w:fill="EBF3FB"/>
      </w:pPr>
      <w:r>
        <w:rPr>
          <w:b/>
          <w:sz w:val="21"/>
        </w:rPr>
        <w:t xml:space="preserve">Note — Why both descriptions appear in the document: </w:t>
      </w:r>
      <w:r>
        <w:rPr>
          <w:sz w:val="21"/>
        </w:rPr>
        <w:t>The spec correctly calls beta_p_i a 'price sensitivity parameter' in the demand section (Section 1.1.2) and uses 1/beta_p_i as a dollar converter in the welfare section (Section 1.1.5). These are two sides of the same coin: beta_p_i = MU_income in this model class. Train (2009) Ch. 3 Section 3.1 discusses this equivalence directly.</w:t>
      </w:r>
    </w:p>
    <w:p>
      <w:pPr>
        <w:pStyle w:val="Heading3"/>
      </w:pPr>
      <w:r>
        <w:t>What is gamma?</w:t>
      </w:r>
    </w:p>
    <w:p>
      <w:r>
        <w:t>gamma approx 0.5772 is the Euler-Mascheroni constant, defined as:</w:t>
      </w:r>
    </w:p>
    <w:p>
      <w:pPr>
        <w:ind w:left="504"/>
        <w:shd w:val="clear" w:color="auto" w:fill="EFEFEF"/>
      </w:pPr>
      <w:r>
        <w:rPr>
          <w:rFonts w:ascii="Courier New" w:hAnsi="Courier New"/>
          <w:sz w:val="19"/>
        </w:rPr>
        <w:t>gamma = lim_{n-&gt;inf} (1 + 1/2 + 1/3 + ... + 1/n - ln n)</w:t>
      </w:r>
    </w:p>
    <w:p>
      <w:r>
        <w:t>In the welfare context it arises because the expected value of the maximum of Gumbel(0,1) random variables is exactly gamma:</w:t>
      </w:r>
    </w:p>
    <w:p>
      <w:pPr>
        <w:ind w:left="504"/>
        <w:shd w:val="clear" w:color="auto" w:fill="EFEFEF"/>
      </w:pPr>
      <w:r>
        <w:rPr>
          <w:rFonts w:ascii="Courier New" w:hAnsi="Courier New"/>
          <w:sz w:val="19"/>
        </w:rPr>
        <w:t>E[max_j epsilon_ij] = gamma    (when all epsilon_ij are i.i.d. Gumbel(0,1))</w:t>
      </w:r>
    </w:p>
    <w:p>
      <w:r>
        <w:t>Intuitive interpretation: Even when all stores have identical systematic utility (V_ij = 0 for all j), the consumer still gets some positive expected utility — because they pick the best random draw epsilon_ij from the Gumbel distribution. gamma is the average value of that 'best random draw' bonus — the expected option value of having a choice set at all.</w:t>
      </w:r>
    </w:p>
    <w:p>
      <w:r>
        <w:t>Why it doesn't matter in practice: gamma appears identically in both W_i_pre and W_i_post (since the choice set J is the same before and after the subsidy). It cancels exactly in Delta_W_i = W_i_post - W_i_pre, so it never needs to be computed. This is why the spec can write DeltaCS without ever mentioning gamma.</w:t>
      </w:r>
    </w:p>
    <w:p>
      <w:r>
        <w:t>Sources:</w:t>
        <w:br/>
        <w:t xml:space="preserve">  - Train (2009), Ch. 2 Appendix, Theorem 2.1 — proof that E[max_j epsilon_ij] = gamma.</w:t>
        <w:br/>
        <w:t xml:space="preserve">    https://eml.berkeley.edu/books/train1201.pdf</w:t>
        <w:br/>
        <w:t xml:space="preserve">  - Small &amp; Rosen (1981), p. 108 — notes that gamma cancels in welfare differences.</w:t>
        <w:br/>
        <w:t xml:space="preserve">    https://www.jstor.org/stable/1911129</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