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bacus.ai-terms-verification"/>
    <w:p>
      <w:pPr>
        <w:pStyle w:val="Heading1"/>
      </w:pPr>
      <w:r>
        <w:t xml:space="preserve">Abacus.AI Terms Verification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2026-09-18</w:t>
      </w:r>
      <w:r>
        <w:t xml:space="preserve"> </w:t>
      </w:r>
      <w:r>
        <w:rPr>
          <w:bCs/>
          <w:b/>
        </w:rPr>
        <w:t xml:space="preserve">Verified by:</w:t>
      </w:r>
      <w:r>
        <w:t xml:space="preserve"> </w:t>
      </w:r>
      <w:r>
        <w:t xml:space="preserve">Neil project owner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Verified (standard terms); written confirmation pending for REG-03/REG-04</w:t>
      </w:r>
    </w:p>
    <w:bookmarkStart w:id="20" w:name="Xba726ba66a91a6eb8dde381574c0465c7269b2b"/>
    <w:p>
      <w:pPr>
        <w:pStyle w:val="Heading2"/>
      </w:pPr>
      <w:r>
        <w:t xml:space="preserve">REG-01 — Customer IP ownership (Abacus ToS §4)</w:t>
      </w:r>
    </w:p>
    <w:p>
      <w:pPr>
        <w:pStyle w:val="FirstParagraph"/>
      </w:pPr>
      <w:r>
        <w:t xml:space="preserve">Abacus ToS §4 confirms customer retains all IP in Customer Data and Application.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Verified</w:t>
      </w:r>
    </w:p>
    <w:bookmarkEnd w:id="20"/>
    <w:bookmarkStart w:id="21" w:name="X3babd8a72d2444600ee6fc2ef249c7d41355db8"/>
    <w:p>
      <w:pPr>
        <w:pStyle w:val="Heading2"/>
      </w:pPr>
      <w:r>
        <w:t xml:space="preserve">REG-02 — Termination + data deletion (Abacus ToS §6.3–6.4)</w:t>
      </w:r>
    </w:p>
    <w:p>
      <w:pPr>
        <w:pStyle w:val="FirstParagraph"/>
      </w:pPr>
      <w:r>
        <w:t xml:space="preserve">Abacus ToS §6.3–6.4 provides termination for convenience and data deletion rights.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Verified</w:t>
      </w:r>
    </w:p>
    <w:bookmarkEnd w:id="21"/>
    <w:bookmarkStart w:id="22" w:name="X287f7815b9daeba622ea42374ec8ffb0bc64542"/>
    <w:p>
      <w:pPr>
        <w:pStyle w:val="Heading2"/>
      </w:pPr>
      <w:r>
        <w:t xml:space="preserve">REG-03 — No training on customer content (Abacus Privacy Policy)</w:t>
      </w:r>
    </w:p>
    <w:p>
      <w:pPr>
        <w:pStyle w:val="FirstParagraph"/>
      </w:pPr>
      <w:r>
        <w:t xml:space="preserve">Standard Abacus Privacy Policy states customer content is not used for model training.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Verified (standard terms); written confirmation via support ticket pending (see REG-04 ticket).</w:t>
      </w:r>
    </w:p>
    <w:bookmarkEnd w:id="22"/>
    <w:bookmarkStart w:id="23" w:name="reg-04-lora-fine-tuned-weight-export"/>
    <w:p>
      <w:pPr>
        <w:pStyle w:val="Heading2"/>
      </w:pPr>
      <w:r>
        <w:t xml:space="preserve">REG-04 — LoRA / fine-tuned weight export</w:t>
      </w:r>
    </w:p>
    <w:p>
      <w:pPr>
        <w:pStyle w:val="FirstParagraph"/>
      </w:pPr>
      <w:r>
        <w:t xml:space="preserve">Pending product verification via support ticket.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Pending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2026-09-18T16:54:53Z</dcterms:created>
  <dcterms:modified xsi:type="dcterms:W3CDTF">2026-09-18T16:54:53Z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