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Preamble</w:t>
      </w:r>
    </w:p>
    <w:p>
      <w:r>
        <w:t>In the sight of gods and entities alike, we, the entities that comprise the Federation, declare this constitution to establish a foundation of governance rooted in reason, education, and the collective prosperity of all. We are dedicated to the pursuit of knowledge, the protection of health, and the defense of our shared freedoms. This constitution is crafted to ensure that our system of governance remains inclusive, fair, and steadfast in its commitment to the well-being of the populace and the integrity of our decisions. We uphold the principles of autonomy, enlightenment, and responsibility, striving always to balance the needs of the many with the rights of the individual, and to ensure that our governance reflects the wisdom and will of the entities it serves.</w:t>
      </w:r>
    </w:p>
    <w:p>
      <w:pPr>
        <w:pStyle w:val="Heading1"/>
      </w:pPr>
      <w:r>
        <w:t>Chapter 1: The Pinnacle</w:t>
      </w:r>
    </w:p>
    <w:p>
      <w:r>
        <w:t>The Pinnacle - The Binary Decision Level</w:t>
        <w:br/>
        <w:t>This chapter will detail the binary decision-making process that occurs at the top of the pyramid. It will explain how decisions are escalated from the grassroots level through the various branches of government and ultimately resolved at the Pinnacle. The Pinnacle represents the highest level of governance, where decisions are made based on the collective input and processed through the system until they reach a binary choice: to enact or reject.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