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A306E59" wp14:paraId="1E22BF32" wp14:textId="24529AB5">
      <w:pPr>
        <w:spacing w:after="6"/>
      </w:pPr>
      <w:r w:rsidRPr="4A306E59" w:rsidR="5A3FF130">
        <w:rPr>
          <w:rFonts w:ascii="Figtree" w:hAnsi="Figtree" w:eastAsia="Figtree" w:cs="Figtree"/>
          <w:b w:val="1"/>
          <w:bCs w:val="1"/>
          <w:i w:val="0"/>
          <w:iCs w:val="0"/>
          <w:caps w:val="0"/>
          <w:smallCaps w:val="0"/>
          <w:noProof w:val="0"/>
          <w:color w:val="1F3864"/>
          <w:sz w:val="21"/>
          <w:szCs w:val="21"/>
          <w:lang w:val="en-US"/>
        </w:rPr>
        <w:t>Engineering Performance Calibration Guide</w:t>
      </w:r>
      <w:r w:rsidRPr="4A306E59" w:rsidR="5A3FF130">
        <w:rPr>
          <w:rFonts w:ascii="Figtree" w:hAnsi="Figtree" w:eastAsia="Figtree" w:cs="Figtree"/>
          <w:b w:val="0"/>
          <w:bCs w:val="0"/>
          <w:i w:val="1"/>
          <w:iCs w:val="1"/>
          <w:caps w:val="0"/>
          <w:smallCaps w:val="0"/>
          <w:noProof w:val="0"/>
          <w:color w:val="44546A"/>
          <w:sz w:val="13"/>
          <w:szCs w:val="13"/>
          <w:lang w:val="en-US"/>
        </w:rPr>
        <w:t xml:space="preserve"> </w:t>
      </w:r>
    </w:p>
    <w:p xmlns:wp14="http://schemas.microsoft.com/office/word/2010/wordml" w:rsidP="4A306E59" wp14:paraId="536184F5" wp14:textId="401D3955">
      <w:pPr>
        <w:spacing w:after="20"/>
        <w:rPr>
          <w:rFonts w:ascii="Figtree" w:hAnsi="Figtree" w:eastAsia="Figtree" w:cs="Figtree"/>
          <w:b w:val="0"/>
          <w:bCs w:val="0"/>
          <w:i w:val="0"/>
          <w:iCs w:val="0"/>
          <w:caps w:val="0"/>
          <w:smallCaps w:val="0"/>
          <w:noProof w:val="0"/>
          <w:color w:val="44546A"/>
          <w:sz w:val="13"/>
          <w:szCs w:val="13"/>
          <w:lang w:val="en-US"/>
        </w:rPr>
      </w:pPr>
      <w:r w:rsidRPr="4A306E59" w:rsidR="5A3FF130">
        <w:rPr>
          <w:rFonts w:ascii="Figtree" w:hAnsi="Figtree" w:eastAsia="Figtree" w:cs="Figtree"/>
          <w:b w:val="0"/>
          <w:bCs w:val="0"/>
          <w:i w:val="1"/>
          <w:iCs w:val="1"/>
          <w:caps w:val="0"/>
          <w:smallCaps w:val="0"/>
          <w:noProof w:val="0"/>
          <w:color w:val="44546A"/>
          <w:sz w:val="13"/>
          <w:szCs w:val="13"/>
          <w:lang w:val="en-US"/>
        </w:rPr>
        <w:t>2026 Performance Assessment — level companion for self-assessment and manager calibration</w:t>
      </w:r>
    </w:p>
    <w:p xmlns:wp14="http://schemas.microsoft.com/office/word/2010/wordml" w:rsidP="4A306E59" wp14:paraId="4F8176F8" wp14:textId="2D69629D">
      <w:pPr>
        <w:spacing w:after="40"/>
        <w:rPr>
          <w:rFonts w:ascii="Figtree" w:hAnsi="Figtree" w:eastAsia="Figtree" w:cs="Figtree"/>
          <w:b w:val="0"/>
          <w:bCs w:val="0"/>
          <w:i w:val="0"/>
          <w:iCs w:val="0"/>
          <w:caps w:val="0"/>
          <w:smallCaps w:val="0"/>
          <w:noProof w:val="0"/>
          <w:color w:val="1A1A1A"/>
          <w:sz w:val="13"/>
          <w:szCs w:val="13"/>
          <w:lang w:val="en-US"/>
        </w:rPr>
      </w:pPr>
      <w:r w:rsidRPr="4A306E59" w:rsidR="5A3FF130">
        <w:rPr>
          <w:rFonts w:ascii="Figtree" w:hAnsi="Figtree" w:eastAsia="Figtree" w:cs="Figtree"/>
          <w:b w:val="0"/>
          <w:bCs w:val="0"/>
          <w:i w:val="0"/>
          <w:iCs w:val="0"/>
          <w:caps w:val="0"/>
          <w:smallCaps w:val="0"/>
          <w:noProof w:val="0"/>
          <w:color w:val="1A1A1A"/>
          <w:sz w:val="13"/>
          <w:szCs w:val="13"/>
          <w:lang w:val="en-US"/>
        </w:rPr>
        <w:t xml:space="preserve">Use before writing your self-assessment for Role Performance, Impact, Development Planning and Overall </w:t>
      </w:r>
      <w:r w:rsidRPr="4A306E59" w:rsidR="5A3FF130">
        <w:rPr>
          <w:rFonts w:ascii="Figtree" w:hAnsi="Figtree" w:eastAsia="Figtree" w:cs="Figtree"/>
          <w:b w:val="0"/>
          <w:bCs w:val="0"/>
          <w:i w:val="0"/>
          <w:iCs w:val="0"/>
          <w:caps w:val="0"/>
          <w:smallCaps w:val="0"/>
          <w:noProof w:val="0"/>
          <w:color w:val="44546A"/>
          <w:sz w:val="13"/>
          <w:szCs w:val="13"/>
          <w:lang w:val="en-US"/>
        </w:rPr>
        <w:t>Rating</w:t>
      </w:r>
      <w:r w:rsidRPr="4A306E59" w:rsidR="5A3FF130">
        <w:rPr>
          <w:rFonts w:ascii="Figtree" w:hAnsi="Figtree" w:eastAsia="Figtree" w:cs="Figtree"/>
          <w:b w:val="0"/>
          <w:bCs w:val="0"/>
          <w:i w:val="1"/>
          <w:iCs w:val="1"/>
          <w:caps w:val="0"/>
          <w:smallCaps w:val="0"/>
          <w:noProof w:val="0"/>
          <w:color w:val="44546A"/>
          <w:sz w:val="13"/>
          <w:szCs w:val="13"/>
          <w:lang w:val="en-US"/>
        </w:rPr>
        <w:t xml:space="preserve"> </w:t>
      </w:r>
      <w:r w:rsidRPr="4A306E59" w:rsidR="5A3FF130">
        <w:rPr>
          <w:rFonts w:ascii="Figtree" w:hAnsi="Figtree" w:eastAsia="Figtree" w:cs="Figtree"/>
          <w:b w:val="0"/>
          <w:bCs w:val="0"/>
          <w:i w:val="0"/>
          <w:iCs w:val="0"/>
          <w:caps w:val="0"/>
          <w:smallCaps w:val="0"/>
          <w:noProof w:val="0"/>
          <w:color w:val="1A1A1A"/>
          <w:sz w:val="13"/>
          <w:szCs w:val="13"/>
          <w:lang w:val="en-US"/>
        </w:rPr>
        <w:t>to anchor what's level-appropriate for your IC level. This is intended to be a lightweight bridge for this cycle, not a new competency model; the full model is being refined next year.</w:t>
      </w:r>
    </w:p>
    <w:p xmlns:wp14="http://schemas.microsoft.com/office/word/2010/wordml" w:rsidP="4A306E59" wp14:paraId="69F2170D" wp14:textId="7FBEF015">
      <w:pPr>
        <w:spacing w:after="40"/>
        <w:rPr>
          <w:rFonts w:ascii="Figtree" w:hAnsi="Figtree" w:eastAsia="Figtree" w:cs="Figtree"/>
          <w:b w:val="0"/>
          <w:bCs w:val="0"/>
          <w:i w:val="0"/>
          <w:iCs w:val="0"/>
          <w:caps w:val="0"/>
          <w:smallCaps w:val="0"/>
          <w:noProof w:val="0"/>
          <w:color w:val="1A1A1A"/>
          <w:sz w:val="13"/>
          <w:szCs w:val="13"/>
          <w:lang w:val="en-US"/>
        </w:rPr>
      </w:pPr>
      <w:r w:rsidRPr="4A306E59" w:rsidR="5A3FF130">
        <w:rPr>
          <w:rFonts w:ascii="Figtree" w:hAnsi="Figtree" w:eastAsia="Figtree" w:cs="Figtree"/>
          <w:b w:val="0"/>
          <w:bCs w:val="0"/>
          <w:i w:val="0"/>
          <w:iCs w:val="0"/>
          <w:caps w:val="0"/>
          <w:smallCaps w:val="0"/>
          <w:noProof w:val="0"/>
          <w:color w:val="1A1A1A"/>
          <w:sz w:val="13"/>
          <w:szCs w:val="13"/>
          <w:lang w:val="en-US"/>
        </w:rPr>
        <w:t>Answer with a specific example, not a general impression; the self-check column restates the same miscalibration trap in the first person.</w:t>
      </w:r>
    </w:p>
    <w:p xmlns:wp14="http://schemas.microsoft.com/office/word/2010/wordml" w:rsidP="4A306E59" wp14:paraId="5CA63D08" wp14:textId="460259E2">
      <w:pPr>
        <w:spacing w:before="0" w:beforeAutospacing="off" w:after="150" w:afterAutospacing="off"/>
        <w:rPr>
          <w:rFonts w:ascii="Figtree" w:hAnsi="Figtree" w:eastAsia="Figtree" w:cs="Figtree"/>
          <w:noProof w:val="0"/>
          <w:color w:val="1A1A1A"/>
          <w:sz w:val="15"/>
          <w:szCs w:val="15"/>
          <w:lang w:val="en-US"/>
        </w:rPr>
      </w:pP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1545"/>
        <w:gridCol w:w="2025"/>
        <w:gridCol w:w="2025"/>
        <w:gridCol w:w="2025"/>
        <w:gridCol w:w="2145"/>
        <w:gridCol w:w="2700"/>
        <w:gridCol w:w="2505"/>
      </w:tblGrid>
      <w:tr w:rsidR="4A306E59" w:rsidTr="139E31C7" w14:paraId="064B7A6D">
        <w:trPr>
          <w:trHeight w:val="300"/>
        </w:trPr>
        <w:tc>
          <w:tcPr>
            <w:tcW w:w="154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3B4E7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4A306E59" w:rsidP="4A306E59" w:rsidRDefault="4A306E59" w14:paraId="5DA0C8C7" w14:textId="7F675C9E">
            <w:pPr>
              <w:spacing w:before="0" w:beforeAutospacing="off" w:after="0" w:afterAutospacing="off"/>
              <w:rPr>
                <w:rFonts w:ascii="Figtree" w:hAnsi="Figtree" w:eastAsia="Figtree" w:cs="Figtree"/>
                <w:b w:val="1"/>
                <w:bCs w:val="1"/>
                <w:color w:val="FFFFFF" w:themeColor="background1" w:themeTint="FF" w:themeShade="FF"/>
                <w:sz w:val="15"/>
                <w:szCs w:val="15"/>
              </w:rPr>
            </w:pPr>
            <w:r w:rsidRPr="4A306E59" w:rsidR="4A306E59">
              <w:rPr>
                <w:rFonts w:ascii="Figtree" w:hAnsi="Figtree" w:eastAsia="Figtree" w:cs="Figtree"/>
                <w:b w:val="1"/>
                <w:bCs w:val="1"/>
                <w:color w:val="FFFFFF" w:themeColor="background1" w:themeTint="FF" w:themeShade="FF"/>
                <w:sz w:val="15"/>
                <w:szCs w:val="15"/>
              </w:rPr>
              <w:t>Level</w:t>
            </w:r>
          </w:p>
        </w:tc>
        <w:tc>
          <w:tcPr>
            <w:tcW w:w="202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3B4E7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4A306E59" w:rsidP="4A306E59" w:rsidRDefault="4A306E59" w14:paraId="56AC551D" w14:textId="72E7C57A">
            <w:pPr>
              <w:spacing w:before="0" w:beforeAutospacing="off" w:after="0" w:afterAutospacing="off"/>
              <w:rPr>
                <w:rFonts w:ascii="Figtree" w:hAnsi="Figtree" w:eastAsia="Figtree" w:cs="Figtree"/>
                <w:b w:val="1"/>
                <w:bCs w:val="1"/>
                <w:color w:val="FFFFFF" w:themeColor="background1" w:themeTint="FF" w:themeShade="FF"/>
                <w:sz w:val="15"/>
                <w:szCs w:val="15"/>
              </w:rPr>
            </w:pPr>
            <w:r w:rsidRPr="139E31C7" w:rsidR="2D3C2A44">
              <w:rPr>
                <w:rFonts w:ascii="Figtree" w:hAnsi="Figtree" w:eastAsia="Figtree" w:cs="Figtree"/>
                <w:b w:val="1"/>
                <w:bCs w:val="1"/>
                <w:color w:val="FFFFFF" w:themeColor="background1" w:themeTint="FF" w:themeShade="FF"/>
                <w:sz w:val="15"/>
                <w:szCs w:val="15"/>
              </w:rPr>
              <w:t>Scope</w:t>
            </w:r>
          </w:p>
        </w:tc>
        <w:tc>
          <w:tcPr>
            <w:tcW w:w="202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3B4E7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4A306E59" w:rsidP="4A306E59" w:rsidRDefault="4A306E59" w14:paraId="6EA00EE5" w14:textId="469B1957">
            <w:pPr>
              <w:spacing w:before="0" w:beforeAutospacing="off" w:after="0" w:afterAutospacing="off"/>
              <w:rPr>
                <w:rFonts w:ascii="Figtree" w:hAnsi="Figtree" w:eastAsia="Figtree" w:cs="Figtree"/>
                <w:b w:val="1"/>
                <w:bCs w:val="1"/>
                <w:color w:val="FFFFFF" w:themeColor="background1" w:themeTint="FF" w:themeShade="FF"/>
                <w:sz w:val="15"/>
                <w:szCs w:val="15"/>
              </w:rPr>
            </w:pPr>
            <w:r w:rsidRPr="139E31C7" w:rsidR="2D3C2A44">
              <w:rPr>
                <w:rFonts w:ascii="Figtree" w:hAnsi="Figtree" w:eastAsia="Figtree" w:cs="Figtree"/>
                <w:b w:val="1"/>
                <w:bCs w:val="1"/>
                <w:color w:val="FFFFFF" w:themeColor="background1" w:themeTint="FF" w:themeShade="FF"/>
                <w:sz w:val="15"/>
                <w:szCs w:val="15"/>
              </w:rPr>
              <w:t>Complexity</w:t>
            </w:r>
          </w:p>
        </w:tc>
        <w:tc>
          <w:tcPr>
            <w:tcW w:w="202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3B4E7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4A306E59" w:rsidP="4A306E59" w:rsidRDefault="4A306E59" w14:paraId="57600F9A" w14:textId="634B2E61">
            <w:pPr>
              <w:spacing w:before="0" w:beforeAutospacing="off" w:after="0" w:afterAutospacing="off"/>
              <w:rPr>
                <w:rFonts w:ascii="Figtree" w:hAnsi="Figtree" w:eastAsia="Figtree" w:cs="Figtree"/>
                <w:b w:val="1"/>
                <w:bCs w:val="1"/>
                <w:color w:val="FFFFFF" w:themeColor="background1" w:themeTint="FF" w:themeShade="FF"/>
                <w:sz w:val="15"/>
                <w:szCs w:val="15"/>
              </w:rPr>
            </w:pPr>
            <w:r w:rsidRPr="139E31C7" w:rsidR="2D3C2A44">
              <w:rPr>
                <w:rFonts w:ascii="Figtree" w:hAnsi="Figtree" w:eastAsia="Figtree" w:cs="Figtree"/>
                <w:b w:val="1"/>
                <w:bCs w:val="1"/>
                <w:color w:val="FFFFFF" w:themeColor="background1" w:themeTint="FF" w:themeShade="FF"/>
                <w:sz w:val="15"/>
                <w:szCs w:val="15"/>
              </w:rPr>
              <w:t>Influence:</w:t>
            </w:r>
          </w:p>
        </w:tc>
        <w:tc>
          <w:tcPr>
            <w:tcW w:w="214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3B4E7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4A306E59" w:rsidP="4A306E59" w:rsidRDefault="4A306E59" w14:paraId="35AF32B1" w14:textId="52D813BC">
            <w:pPr>
              <w:spacing w:before="0" w:beforeAutospacing="off" w:after="0" w:afterAutospacing="off"/>
              <w:rPr>
                <w:rFonts w:ascii="Figtree" w:hAnsi="Figtree" w:eastAsia="Figtree" w:cs="Figtree"/>
                <w:b w:val="1"/>
                <w:bCs w:val="1"/>
                <w:color w:val="FFFFFF" w:themeColor="background1" w:themeTint="FF" w:themeShade="FF"/>
                <w:sz w:val="15"/>
                <w:szCs w:val="15"/>
              </w:rPr>
            </w:pPr>
            <w:r w:rsidRPr="139E31C7" w:rsidR="2D3C2A44">
              <w:rPr>
                <w:rFonts w:ascii="Figtree" w:hAnsi="Figtree" w:eastAsia="Figtree" w:cs="Figtree"/>
                <w:b w:val="1"/>
                <w:bCs w:val="1"/>
                <w:color w:val="FFFFFF" w:themeColor="background1" w:themeTint="FF" w:themeShade="FF"/>
                <w:sz w:val="15"/>
                <w:szCs w:val="15"/>
              </w:rPr>
              <w:t>AI Workflow:</w:t>
            </w:r>
          </w:p>
        </w:tc>
        <w:tc>
          <w:tcPr>
            <w:tcW w:w="2700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3B4E7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4A306E59" w:rsidP="4A306E59" w:rsidRDefault="4A306E59" w14:paraId="5AD99149" w14:textId="08B94AB6">
            <w:pPr>
              <w:spacing w:before="0" w:beforeAutospacing="off" w:after="0" w:afterAutospacing="off"/>
              <w:rPr>
                <w:rFonts w:ascii="Figtree" w:hAnsi="Figtree" w:eastAsia="Figtree" w:cs="Figtree"/>
                <w:b w:val="1"/>
                <w:bCs w:val="1"/>
                <w:color w:val="FFFFFF" w:themeColor="background1" w:themeTint="FF" w:themeShade="FF"/>
                <w:sz w:val="15"/>
                <w:szCs w:val="15"/>
              </w:rPr>
            </w:pPr>
            <w:r w:rsidRPr="4A306E59" w:rsidR="4A306E59">
              <w:rPr>
                <w:rFonts w:ascii="Figtree" w:hAnsi="Figtree" w:eastAsia="Figtree" w:cs="Figtree"/>
                <w:b w:val="1"/>
                <w:bCs w:val="1"/>
                <w:color w:val="FFFFFF" w:themeColor="background1" w:themeTint="FF" w:themeShade="FF"/>
                <w:sz w:val="15"/>
                <w:szCs w:val="15"/>
              </w:rPr>
              <w:t>Example outcome</w:t>
            </w:r>
          </w:p>
        </w:tc>
        <w:tc>
          <w:tcPr>
            <w:tcW w:w="250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3B4E7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4A306E59" w:rsidP="4A306E59" w:rsidRDefault="4A306E59" w14:paraId="0509F53E" w14:textId="4DEDD826">
            <w:pPr>
              <w:spacing w:before="0" w:beforeAutospacing="off" w:after="0" w:afterAutospacing="off"/>
            </w:pPr>
            <w:r w:rsidRPr="139E31C7" w:rsidR="2D3C2A44">
              <w:rPr>
                <w:rFonts w:ascii="Figtree" w:hAnsi="Figtree" w:eastAsia="Figtree" w:cs="Figtree"/>
                <w:b w:val="1"/>
                <w:bCs w:val="1"/>
                <w:color w:val="FFFFFF" w:themeColor="background1" w:themeTint="FF" w:themeShade="FF"/>
                <w:sz w:val="15"/>
                <w:szCs w:val="15"/>
              </w:rPr>
              <w:t>Self-check</w:t>
            </w:r>
          </w:p>
        </w:tc>
      </w:tr>
      <w:tr w:rsidR="4A306E59" w:rsidTr="139E31C7" w14:paraId="1BD7E510">
        <w:trPr>
          <w:trHeight w:val="300"/>
        </w:trPr>
        <w:tc>
          <w:tcPr>
            <w:tcW w:w="154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2F2F2" w:themeFill="background1" w:themeFillShade="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07FC143D" w14:textId="1C8040A5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b w:val="1"/>
                <w:bCs w:val="1"/>
                <w:color w:val="1A1A1A"/>
                <w:sz w:val="15"/>
                <w:szCs w:val="15"/>
              </w:rPr>
              <w:t>Definitions</w:t>
            </w:r>
          </w:p>
        </w:tc>
        <w:tc>
          <w:tcPr>
            <w:tcW w:w="202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2F2F2" w:themeFill="background1" w:themeFillShade="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4C07F6CB" w14:textId="289896A1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i w:val="1"/>
                <w:iCs w:val="1"/>
                <w:color w:val="44546A"/>
                <w:sz w:val="15"/>
                <w:szCs w:val="15"/>
              </w:rPr>
              <w:t>The breadth of work for which the engineer is accountable: task, capability, system or capability, platform domain, or company-wide technical direction.</w:t>
            </w:r>
          </w:p>
        </w:tc>
        <w:tc>
          <w:tcPr>
            <w:tcW w:w="202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2F2F2" w:themeFill="background1" w:themeFillShade="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17736938" w14:textId="25A61790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i w:val="1"/>
                <w:iCs w:val="1"/>
                <w:color w:val="44546A"/>
                <w:sz w:val="15"/>
                <w:szCs w:val="15"/>
              </w:rPr>
              <w:t>The ambiguity, number of systems or trade-offs involved, technical risk, and absence of an established pattern.</w:t>
            </w:r>
          </w:p>
        </w:tc>
        <w:tc>
          <w:tcPr>
            <w:tcW w:w="202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2F2F2" w:themeFill="background1" w:themeFillShade="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07FB9243" w14:textId="617B2DD0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i w:val="1"/>
                <w:iCs w:val="1"/>
                <w:color w:val="44546A"/>
                <w:sz w:val="15"/>
                <w:szCs w:val="15"/>
              </w:rPr>
              <w:t>Whose code, systems, or decisions changed because of the engineer's work, review, or technical leadership.</w:t>
            </w:r>
          </w:p>
        </w:tc>
        <w:tc>
          <w:tcPr>
            <w:tcW w:w="214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2F2F2" w:themeFill="background1" w:themeFillShade="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278D8730" w14:textId="725ECF3F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i w:val="1"/>
                <w:iCs w:val="1"/>
                <w:color w:val="44546A"/>
                <w:sz w:val="15"/>
                <w:szCs w:val="15"/>
              </w:rPr>
              <w:t>How AI changes engineering judgment, speed, scale, or capability, including how outputs are verified and when human review remains necessary.</w:t>
            </w:r>
          </w:p>
        </w:tc>
        <w:tc>
          <w:tcPr>
            <w:tcW w:w="2700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2F2F2" w:themeFill="background1" w:themeFillShade="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114A2D2E" w14:textId="26B58B32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i w:val="1"/>
                <w:iCs w:val="1"/>
                <w:color w:val="44546A"/>
                <w:sz w:val="15"/>
                <w:szCs w:val="15"/>
              </w:rPr>
              <w:t>Observable evidence that performance at this level produced a meaningful and appropriately scaled result.</w:t>
            </w:r>
          </w:p>
        </w:tc>
        <w:tc>
          <w:tcPr>
            <w:tcW w:w="250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2F2F2" w:themeFill="background1" w:themeFillShade="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296E8595" w14:textId="67EC8E46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i w:val="1"/>
                <w:iCs w:val="1"/>
                <w:color w:val="44546A"/>
                <w:sz w:val="15"/>
                <w:szCs w:val="15"/>
              </w:rPr>
              <w:t>The most likely way activity, visibility, polish, or tenure could be mistaken for impact at that level.</w:t>
            </w:r>
          </w:p>
        </w:tc>
      </w:tr>
      <w:tr w:rsidR="4A306E59" w:rsidTr="139E31C7" w14:paraId="480C3D54">
        <w:trPr>
          <w:trHeight w:val="300"/>
        </w:trPr>
        <w:tc>
          <w:tcPr>
            <w:tcW w:w="14970" w:type="dxa"/>
            <w:gridSpan w:val="7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E4DCE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79297B12" w14:textId="3278E653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b w:val="1"/>
                <w:bCs w:val="1"/>
                <w:color w:val="1F3864"/>
                <w:sz w:val="17"/>
                <w:szCs w:val="17"/>
              </w:rPr>
              <w:t>ENGINEERING</w:t>
            </w:r>
          </w:p>
        </w:tc>
      </w:tr>
      <w:tr w:rsidR="4A306E59" w:rsidTr="139E31C7" w14:paraId="34501B01">
        <w:trPr>
          <w:trHeight w:val="300"/>
        </w:trPr>
        <w:tc>
          <w:tcPr>
            <w:tcW w:w="154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4F7FB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13A815DA" w14:textId="1E466F6C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b w:val="1"/>
                <w:bCs w:val="1"/>
                <w:color w:val="1A1A1A"/>
                <w:sz w:val="15"/>
                <w:szCs w:val="15"/>
              </w:rPr>
              <w:t>IC1 Associate Software Engineer</w:t>
            </w:r>
          </w:p>
        </w:tc>
        <w:tc>
          <w:tcPr>
            <w:tcW w:w="2025" w:type="dxa"/>
            <w:tcBorders>
              <w:top w:val="nil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4F7FB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318FF46D" w14:textId="6BF1AF8F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color w:val="1A1A1A"/>
                <w:sz w:val="15"/>
                <w:szCs w:val="15"/>
              </w:rPr>
              <w:t>What specific task or small capability did I complete this period, and where did I rely on a mentor for guidance?</w:t>
            </w:r>
          </w:p>
        </w:tc>
        <w:tc>
          <w:tcPr>
            <w:tcW w:w="2025" w:type="dxa"/>
            <w:tcBorders>
              <w:top w:val="nil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4F7FB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2596E0E8" w14:textId="238AAD3B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color w:val="1A1A1A"/>
                <w:sz w:val="15"/>
                <w:szCs w:val="15"/>
              </w:rPr>
              <w:t>Which bugs or issues did I diagnose using approaches I already knew, and where did I ask for guidance first?</w:t>
            </w:r>
          </w:p>
        </w:tc>
        <w:tc>
          <w:tcPr>
            <w:tcW w:w="2025" w:type="dxa"/>
            <w:tcBorders>
              <w:top w:val="nil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4F7FB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2528D135" w14:textId="502E75A9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color w:val="1A1A1A"/>
                <w:sz w:val="15"/>
                <w:szCs w:val="15"/>
              </w:rPr>
              <w:t>Did my pull requests need significant rework after review, or did they hold up as submitted?</w:t>
            </w:r>
          </w:p>
        </w:tc>
        <w:tc>
          <w:tcPr>
            <w:tcW w:w="2145" w:type="dxa"/>
            <w:tcBorders>
              <w:top w:val="nil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4F7FB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3F31992B" w14:textId="55B681B4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color w:val="1A1A1A"/>
                <w:sz w:val="15"/>
                <w:szCs w:val="15"/>
              </w:rPr>
              <w:t>What AI tool did I use for boilerplate or routine coding this period, and how did I verify the output before using it?</w:t>
            </w:r>
          </w:p>
        </w:tc>
        <w:tc>
          <w:tcPr>
            <w:tcW w:w="2700" w:type="dxa"/>
            <w:tcBorders>
              <w:top w:val="nil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4F7FB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6F408030" w14:textId="6145479A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color w:val="1A1A1A"/>
                <w:sz w:val="15"/>
                <w:szCs w:val="15"/>
              </w:rPr>
              <w:t>Completed an assigned task to spec, got pull requests through review, and could explain the issue it resolved.</w:t>
            </w:r>
          </w:p>
        </w:tc>
        <w:tc>
          <w:tcPr>
            <w:tcW w:w="2505" w:type="dxa"/>
            <w:tcBorders>
              <w:top w:val="nil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4F7FB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3BB3C703" w14:textId="18BDB802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color w:val="1A1A1A"/>
                <w:sz w:val="15"/>
                <w:szCs w:val="15"/>
              </w:rPr>
              <w:t>Am I weighing the evidence fairly — giving myself credit for completing assigned work well, without overstating the scope, complexity, or influence expected at this level?</w:t>
            </w:r>
          </w:p>
        </w:tc>
      </w:tr>
      <w:tr w:rsidR="4A306E59" w:rsidTr="139E31C7" w14:paraId="1A568C1D">
        <w:trPr>
          <w:trHeight w:val="300"/>
        </w:trPr>
        <w:tc>
          <w:tcPr>
            <w:tcW w:w="154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4F7FB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16963011" w14:textId="31DA360D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b w:val="1"/>
                <w:bCs w:val="1"/>
                <w:color w:val="1A1A1A"/>
                <w:sz w:val="15"/>
                <w:szCs w:val="15"/>
              </w:rPr>
              <w:t>IC2 Software Engineer</w:t>
            </w:r>
          </w:p>
        </w:tc>
        <w:tc>
          <w:tcPr>
            <w:tcW w:w="202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4F7FB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0BD6A53C" w14:textId="5D4C315C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color w:val="1A1A1A"/>
                <w:sz w:val="15"/>
                <w:szCs w:val="15"/>
              </w:rPr>
              <w:t>What capability or set of endpoints did I build mostly on my own this period?</w:t>
            </w:r>
          </w:p>
        </w:tc>
        <w:tc>
          <w:tcPr>
            <w:tcW w:w="202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4F7FB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4D480050" w14:textId="10A7765B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color w:val="1A1A1A"/>
                <w:sz w:val="15"/>
                <w:szCs w:val="15"/>
              </w:rPr>
              <w:t>Where did I show a clear productivity trend or deepen my understanding of this part of the product?</w:t>
            </w:r>
          </w:p>
        </w:tc>
        <w:tc>
          <w:tcPr>
            <w:tcW w:w="202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4F7FB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728228C9" w14:textId="3C4C3CEA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color w:val="1A1A1A"/>
                <w:sz w:val="15"/>
                <w:szCs w:val="15"/>
              </w:rPr>
              <w:t>Where did I pair with a senior engineer on an architectural decision, rather than deciding it myself?</w:t>
            </w:r>
          </w:p>
        </w:tc>
        <w:tc>
          <w:tcPr>
            <w:tcW w:w="214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4F7FB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43E57956" w14:textId="63263444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color w:val="1A1A1A"/>
                <w:sz w:val="15"/>
                <w:szCs w:val="15"/>
              </w:rPr>
              <w:t>Where did I use AI for code review, PR summaries, or test-case generation on a specific task, and what did it save me?</w:t>
            </w:r>
          </w:p>
        </w:tc>
        <w:tc>
          <w:tcPr>
            <w:tcW w:w="2700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4F7FB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445E4EDB" w14:textId="59FE0C51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color w:val="1A1A1A"/>
                <w:sz w:val="15"/>
                <w:szCs w:val="15"/>
              </w:rPr>
              <w:t>Built a capability end to end (API, UI, tests) to spec and could describe the outcome it was meant to produce.</w:t>
            </w:r>
          </w:p>
        </w:tc>
        <w:tc>
          <w:tcPr>
            <w:tcW w:w="250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4F7FB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41D0E3FB" w14:textId="06CB930E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color w:val="1A1A1A"/>
                <w:sz w:val="15"/>
                <w:szCs w:val="15"/>
              </w:rPr>
              <w:t>Am I weighing the evidence fairly — recognizing my independent execution, while not treating appropriate pairing on architectural decisions as a shortfall?</w:t>
            </w:r>
          </w:p>
        </w:tc>
      </w:tr>
      <w:tr w:rsidR="4A306E59" w:rsidTr="139E31C7" w14:paraId="662BB713">
        <w:trPr>
          <w:trHeight w:val="300"/>
        </w:trPr>
        <w:tc>
          <w:tcPr>
            <w:tcW w:w="154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CF6E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1FCD277B" w14:textId="060AB53B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b w:val="1"/>
                <w:bCs w:val="1"/>
                <w:color w:val="1A1A1A"/>
                <w:sz w:val="15"/>
                <w:szCs w:val="15"/>
              </w:rPr>
              <w:t>IC3 Senior Software Engineer</w:t>
            </w:r>
          </w:p>
        </w:tc>
        <w:tc>
          <w:tcPr>
            <w:tcW w:w="202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CF6E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31CE8A13" w14:textId="79575420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color w:val="1A1A1A"/>
                <w:sz w:val="15"/>
                <w:szCs w:val="15"/>
              </w:rPr>
              <w:t>What capability area or service did I own independently this period?</w:t>
            </w:r>
          </w:p>
        </w:tc>
        <w:tc>
          <w:tcPr>
            <w:tcW w:w="202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CF6E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530BB0D9" w14:textId="368016AC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color w:val="1A1A1A"/>
                <w:sz w:val="15"/>
                <w:szCs w:val="15"/>
              </w:rPr>
              <w:t>What non-routine problem did I resolve with minimal guidance, and what trade-off did I evaluate?</w:t>
            </w:r>
          </w:p>
        </w:tc>
        <w:tc>
          <w:tcPr>
            <w:tcW w:w="202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CF6E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16F5DF03" w14:textId="15BE6BA9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color w:val="1A1A1A"/>
                <w:sz w:val="15"/>
                <w:szCs w:val="15"/>
              </w:rPr>
              <w:t>What did I deliver without code-review rejections, and who did I mentor one-on-one?</w:t>
            </w:r>
          </w:p>
        </w:tc>
        <w:tc>
          <w:tcPr>
            <w:tcW w:w="214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CF6E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23B67BC4" w14:textId="3E4007AD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color w:val="1A1A1A"/>
                <w:sz w:val="15"/>
                <w:szCs w:val="15"/>
              </w:rPr>
              <w:t>Where did I use AI for code review, test generation, or my own SDLC workflow, and what cycle-time gain can I point to?</w:t>
            </w:r>
          </w:p>
        </w:tc>
        <w:tc>
          <w:tcPr>
            <w:tcW w:w="2700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CF6E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2D388B33" w14:textId="752A81C5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color w:val="1A1A1A"/>
                <w:sz w:val="15"/>
                <w:szCs w:val="15"/>
              </w:rPr>
              <w:t>Owned a capability area end to end, shipped it to production without rework, and mentored at least one newer engineer.</w:t>
            </w:r>
          </w:p>
        </w:tc>
        <w:tc>
          <w:tcPr>
            <w:tcW w:w="250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CF6E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3B74D44D" w14:textId="53DB1160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color w:val="1A1A1A"/>
                <w:sz w:val="15"/>
                <w:szCs w:val="15"/>
              </w:rPr>
              <w:t>Am I weighing the evidence fairly — crediting what I owned and delivered without rework, without claiming the cross-team standard-setting that starts at the next level?</w:t>
            </w:r>
          </w:p>
        </w:tc>
      </w:tr>
      <w:tr w:rsidR="4A306E59" w:rsidTr="139E31C7" w14:paraId="7A4570D1">
        <w:trPr>
          <w:trHeight w:val="300"/>
        </w:trPr>
        <w:tc>
          <w:tcPr>
            <w:tcW w:w="154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CF6E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398BC35C" w14:textId="7C15CC10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b w:val="1"/>
                <w:bCs w:val="1"/>
                <w:color w:val="1A1A1A"/>
                <w:sz w:val="15"/>
                <w:szCs w:val="15"/>
              </w:rPr>
              <w:t>IC4 Principal Software Engineer</w:t>
            </w:r>
          </w:p>
        </w:tc>
        <w:tc>
          <w:tcPr>
            <w:tcW w:w="202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CF6E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3ABF3A1F" w14:textId="7D717F0E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color w:val="1A1A1A"/>
                <w:sz w:val="15"/>
                <w:szCs w:val="15"/>
              </w:rPr>
              <w:t>What major capability area's architecture did I define or deliver this period?</w:t>
            </w:r>
          </w:p>
        </w:tc>
        <w:tc>
          <w:tcPr>
            <w:tcW w:w="202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CF6E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41B3373A" w14:textId="0DE7EDAE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color w:val="1A1A1A"/>
                <w:sz w:val="15"/>
                <w:szCs w:val="15"/>
              </w:rPr>
              <w:t>What standard or guardrail did I define that other teams had to build against?</w:t>
            </w:r>
          </w:p>
        </w:tc>
        <w:tc>
          <w:tcPr>
            <w:tcW w:w="202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CF6E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4B8A9728" w14:textId="4DDE46C2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color w:val="1A1A1A"/>
                <w:sz w:val="15"/>
                <w:szCs w:val="15"/>
              </w:rPr>
              <w:t>Which senior engineers did I mentor, and what technical direction decision did I make and defend myself?</w:t>
            </w:r>
          </w:p>
        </w:tc>
        <w:tc>
          <w:tcPr>
            <w:tcW w:w="214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CF6E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272F5284" w14:textId="23D27DD3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color w:val="1A1A1A"/>
                <w:sz w:val="15"/>
                <w:szCs w:val="15"/>
              </w:rPr>
              <w:t>What reusable prompt standard or AI-SDLC pattern did I define that my team started building against, and how did that move toward a higher autonomy level?</w:t>
            </w:r>
          </w:p>
        </w:tc>
        <w:tc>
          <w:tcPr>
            <w:tcW w:w="2700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CF6E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02A47351" w14:textId="28B0EE66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color w:val="1A1A1A"/>
                <w:sz w:val="15"/>
                <w:szCs w:val="15"/>
              </w:rPr>
              <w:t>Defined the reference architecture for a capability that multiple teams built against, and it held up in production.</w:t>
            </w:r>
          </w:p>
        </w:tc>
        <w:tc>
          <w:tcPr>
            <w:tcW w:w="250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CF6E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2E0FFF07" w14:textId="6E3A9A83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color w:val="1A1A1A"/>
                <w:sz w:val="15"/>
                <w:szCs w:val="15"/>
              </w:rPr>
              <w:t>Am I weighing the evidence fairly — recognizing the standards I actually got adopted, without mistaking prototype polish for higher-level impact?</w:t>
            </w:r>
          </w:p>
        </w:tc>
      </w:tr>
      <w:tr w:rsidR="4A306E59" w:rsidTr="139E31C7" w14:paraId="1D89BD37">
        <w:trPr>
          <w:trHeight w:val="300"/>
        </w:trPr>
        <w:tc>
          <w:tcPr>
            <w:tcW w:w="154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CF6E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52B1C7D5" w14:textId="3113DC65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b w:val="1"/>
                <w:bCs w:val="1"/>
                <w:color w:val="1A1A1A"/>
                <w:sz w:val="15"/>
                <w:szCs w:val="15"/>
              </w:rPr>
              <w:t>IC5 Sr. Principal Software Architect</w:t>
            </w:r>
          </w:p>
        </w:tc>
        <w:tc>
          <w:tcPr>
            <w:tcW w:w="202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CF6E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71C8C6E5" w14:textId="2D849A2F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color w:val="1A1A1A"/>
                <w:sz w:val="15"/>
                <w:szCs w:val="15"/>
              </w:rPr>
              <w:t>What architectural roadmap did I define, and for which domain across Engineering and Product?</w:t>
            </w:r>
          </w:p>
        </w:tc>
        <w:tc>
          <w:tcPr>
            <w:tcW w:w="202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CF6E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4299142E" w14:textId="7F677C33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color w:val="1A1A1A"/>
                <w:sz w:val="15"/>
                <w:szCs w:val="15"/>
              </w:rPr>
              <w:t>What competing frameworks or integration patterns did I evaluate, and on what basis did I decide?</w:t>
            </w:r>
          </w:p>
        </w:tc>
        <w:tc>
          <w:tcPr>
            <w:tcW w:w="202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CF6E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3CFF8BB0" w14:textId="2F30BDA8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color w:val="1A1A1A"/>
                <w:sz w:val="15"/>
                <w:szCs w:val="15"/>
              </w:rPr>
              <w:t>What architecture review, council, or executive forum did I represent this work in, and what was adopted?</w:t>
            </w:r>
          </w:p>
        </w:tc>
        <w:tc>
          <w:tcPr>
            <w:tcW w:w="214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CF6E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3A6975E6" w14:textId="6F242971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color w:val="1A1A1A"/>
                <w:sz w:val="15"/>
                <w:szCs w:val="15"/>
              </w:rPr>
              <w:t>What AI-SDLC pattern or prompt standard did I define that other teams adopted, and how do I know they used it?</w:t>
            </w:r>
          </w:p>
        </w:tc>
        <w:tc>
          <w:tcPr>
            <w:tcW w:w="2700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CF6E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18178C94" w14:textId="50892CBE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color w:val="1A1A1A"/>
                <w:sz w:val="15"/>
                <w:szCs w:val="15"/>
              </w:rPr>
              <w:t>Defined a roadmap for a platform domain, got it adopted as the standard, and represented it in an executive forum.</w:t>
            </w:r>
          </w:p>
        </w:tc>
        <w:tc>
          <w:tcPr>
            <w:tcW w:w="250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CF6E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783BAE61" w14:textId="31C043EF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color w:val="1A1A1A"/>
                <w:sz w:val="15"/>
                <w:szCs w:val="15"/>
              </w:rPr>
              <w:t>Am I weighing the evidence fairly — giving credit for the roadmap other teams actually adopted, without relying on a polished diagram alone as proof of impact?</w:t>
            </w:r>
          </w:p>
        </w:tc>
      </w:tr>
      <w:tr w:rsidR="4A306E59" w:rsidTr="139E31C7" w14:paraId="7DB21048">
        <w:trPr>
          <w:trHeight w:val="300"/>
        </w:trPr>
        <w:tc>
          <w:tcPr>
            <w:tcW w:w="154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6EE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56E9CD38" w14:textId="04897069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b w:val="1"/>
                <w:bCs w:val="1"/>
                <w:color w:val="1A1A1A"/>
                <w:sz w:val="15"/>
                <w:szCs w:val="15"/>
              </w:rPr>
              <w:t>IC6 Advisory Software Architect</w:t>
            </w:r>
          </w:p>
        </w:tc>
        <w:tc>
          <w:tcPr>
            <w:tcW w:w="202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6EE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3C6A8F54" w14:textId="5AFE8DED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color w:val="1A1A1A"/>
                <w:sz w:val="15"/>
                <w:szCs w:val="15"/>
              </w:rPr>
              <w:t>What AI-powered distributed system's architecture and development did I lead this period?</w:t>
            </w:r>
          </w:p>
        </w:tc>
        <w:tc>
          <w:tcPr>
            <w:tcW w:w="202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6EE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5BD385C7" w14:textId="3A70EC22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color w:val="1A1A1A"/>
                <w:sz w:val="15"/>
                <w:szCs w:val="15"/>
              </w:rPr>
              <w:t>What complex, critical project did I take on with little formal direction?</w:t>
            </w:r>
          </w:p>
        </w:tc>
        <w:tc>
          <w:tcPr>
            <w:tcW w:w="202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6EE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397A2EEA" w14:textId="666FA428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color w:val="1A1A1A"/>
                <w:sz w:val="15"/>
                <w:szCs w:val="15"/>
              </w:rPr>
              <w:t>What security, automation, or performance practice did I champion across the organization, and what changed?</w:t>
            </w:r>
          </w:p>
        </w:tc>
        <w:tc>
          <w:tcPr>
            <w:tcW w:w="214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6EE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32EE4F8A" w14:textId="532ACC71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color w:val="1A1A1A"/>
                <w:sz w:val="15"/>
                <w:szCs w:val="15"/>
              </w:rPr>
              <w:t>What agentic workflow or AI-SDLC architecture did I lead the adoption of across the org, and where does this go beyond the standard Innovative description?</w:t>
            </w:r>
          </w:p>
        </w:tc>
        <w:tc>
          <w:tcPr>
            <w:tcW w:w="2700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6EE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4AF22590" w14:textId="66556B72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color w:val="1A1A1A"/>
                <w:sz w:val="15"/>
                <w:szCs w:val="15"/>
              </w:rPr>
              <w:t>Shifted how the organization builds AI-powered systems, and created a practice other teams reuse.</w:t>
            </w:r>
          </w:p>
        </w:tc>
        <w:tc>
          <w:tcPr>
            <w:tcW w:w="250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6EE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0AF4C6EE" w14:textId="38BD52C6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color w:val="1A1A1A"/>
                <w:sz w:val="15"/>
                <w:szCs w:val="15"/>
              </w:rPr>
              <w:t>Am I weighing the evidence fairly — looking for real change in production across teams, not just broad technology exposure or participation?</w:t>
            </w:r>
          </w:p>
        </w:tc>
      </w:tr>
      <w:tr w:rsidR="4A306E59" w:rsidTr="139E31C7" w14:paraId="3B994B71">
        <w:trPr>
          <w:trHeight w:val="300"/>
        </w:trPr>
        <w:tc>
          <w:tcPr>
            <w:tcW w:w="154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6EE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7C0E5D5F" w14:textId="3CC43914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b w:val="1"/>
                <w:bCs w:val="1"/>
                <w:color w:val="1A1A1A"/>
                <w:sz w:val="15"/>
                <w:szCs w:val="15"/>
              </w:rPr>
              <w:t>IC7 Sr. Advisory Software Architect</w:t>
            </w:r>
          </w:p>
        </w:tc>
        <w:tc>
          <w:tcPr>
            <w:tcW w:w="202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6EE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19FACBC6" w14:textId="449518DC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color w:val="1A1A1A"/>
                <w:sz w:val="15"/>
                <w:szCs w:val="15"/>
              </w:rPr>
              <w:t>What best practice or technical direction did I define across Engineering, not just one product or platform?</w:t>
            </w:r>
          </w:p>
        </w:tc>
        <w:tc>
          <w:tcPr>
            <w:tcW w:w="202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6EE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660DBC53" w14:textId="1318DD0C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color w:val="1A1A1A"/>
                <w:sz w:val="15"/>
                <w:szCs w:val="15"/>
              </w:rPr>
              <w:t>What ambiguous, cross-cutting issue did I resolve through influence rather than formal authority?</w:t>
            </w:r>
          </w:p>
        </w:tc>
        <w:tc>
          <w:tcPr>
            <w:tcW w:w="202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6EE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03208A0D" w14:textId="31E237DC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color w:val="1A1A1A"/>
                <w:sz w:val="15"/>
                <w:szCs w:val="15"/>
              </w:rPr>
              <w:t>What company-wide technical direction or investment decision changed because of my input?</w:t>
            </w:r>
          </w:p>
        </w:tc>
        <w:tc>
          <w:tcPr>
            <w:tcW w:w="214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6EE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7A9643CB" w14:textId="46C1C38B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color w:val="1A1A1A"/>
                <w:sz w:val="15"/>
                <w:szCs w:val="15"/>
              </w:rPr>
              <w:t>What AI-SDLC operating model or autonomy target did I shape for the function company-wide, and what outcome improved?</w:t>
            </w:r>
          </w:p>
        </w:tc>
        <w:tc>
          <w:tcPr>
            <w:tcW w:w="2700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6EE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4C2E53FE" w14:textId="6D1D4AB7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color w:val="1A1A1A"/>
                <w:sz w:val="15"/>
                <w:szCs w:val="15"/>
              </w:rPr>
              <w:t>Changed a company-wide technical direction, and shaped how Engineering holds itself accountable for outcomes.</w:t>
            </w:r>
          </w:p>
        </w:tc>
        <w:tc>
          <w:tcPr>
            <w:tcW w:w="250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6EE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6B0D0810" w14:textId="03D5B1DF">
            <w:pPr>
              <w:spacing w:before="0" w:beforeAutospacing="off" w:after="0" w:afterAutospacing="off"/>
            </w:pPr>
            <w:r w:rsidRPr="242BB2FD" w:rsidR="242BB2FD">
              <w:rPr>
                <w:rFonts w:ascii="Calibri" w:hAnsi="Calibri" w:eastAsia="Calibri" w:cs="Calibri"/>
                <w:color w:val="1A1A1A"/>
                <w:sz w:val="15"/>
                <w:szCs w:val="15"/>
              </w:rPr>
              <w:t>Am I weighing the evidence fairly — grounding this level in a specific company-wide technical decision I shaped, not seniority, tenure, or title?</w:t>
            </w:r>
          </w:p>
        </w:tc>
      </w:tr>
    </w:tbl>
    <w:p xmlns:wp14="http://schemas.microsoft.com/office/word/2010/wordml" w:rsidP="242BB2FD" wp14:paraId="7A17CDC6" wp14:textId="320C3FDE">
      <w:pPr>
        <w:pStyle w:val="Normal"/>
        <w:bidi w:val="0"/>
        <w:spacing w:before="0" w:beforeAutospacing="off" w:after="40" w:afterAutospacing="off"/>
        <w:rPr>
          <w:rFonts w:ascii="Figtree" w:hAnsi="Figtree" w:eastAsia="Figtree" w:cs="Figtree"/>
          <w:b w:val="1"/>
          <w:bCs w:val="1"/>
          <w:noProof w:val="0"/>
          <w:color w:val="1F3864"/>
          <w:sz w:val="24"/>
          <w:szCs w:val="24"/>
          <w:lang w:val="en-US"/>
        </w:rPr>
      </w:pPr>
      <w:r w:rsidRPr="242BB2FD" w:rsidR="2528BA72">
        <w:rPr>
          <w:rFonts w:ascii="Figtree" w:hAnsi="Figtree" w:eastAsia="Figtree" w:cs="Figtree"/>
          <w:b w:val="1"/>
          <w:bCs w:val="1"/>
          <w:noProof w:val="0"/>
          <w:color w:val="1F3864"/>
          <w:sz w:val="24"/>
          <w:szCs w:val="24"/>
          <w:lang w:val="en-US"/>
        </w:rPr>
        <w:t>Manager Calibration Guide</w:t>
      </w:r>
    </w:p>
    <w:p xmlns:wp14="http://schemas.microsoft.com/office/word/2010/wordml" w:rsidP="4A306E59" wp14:paraId="3938F847" wp14:textId="7FE6BE10">
      <w:pPr>
        <w:bidi w:val="0"/>
        <w:spacing w:before="0" w:beforeAutospacing="off" w:after="90" w:afterAutospacing="off"/>
        <w:rPr>
          <w:rFonts w:ascii="Figtree" w:hAnsi="Figtree" w:eastAsia="Figtree" w:cs="Figtree"/>
          <w:i w:val="1"/>
          <w:iCs w:val="1"/>
          <w:noProof w:val="0"/>
          <w:color w:val="44546A"/>
          <w:sz w:val="16"/>
          <w:szCs w:val="16"/>
          <w:lang w:val="en-US"/>
        </w:rPr>
      </w:pPr>
      <w:r w:rsidRPr="4A306E59" w:rsidR="4CBECE53">
        <w:rPr>
          <w:rFonts w:ascii="Figtree" w:hAnsi="Figtree" w:eastAsia="Figtree" w:cs="Figtree"/>
          <w:i w:val="1"/>
          <w:iCs w:val="1"/>
          <w:noProof w:val="0"/>
          <w:color w:val="44546A"/>
          <w:sz w:val="16"/>
          <w:szCs w:val="16"/>
          <w:lang w:val="en-US"/>
        </w:rPr>
        <w:t>Companion to pages 1 and 2 — what to look for and what to ask before finalizing a rating</w:t>
      </w:r>
    </w:p>
    <w:p xmlns:wp14="http://schemas.microsoft.com/office/word/2010/wordml" w:rsidP="4A306E59" wp14:paraId="55C6A5EE" wp14:textId="33D22AC0">
      <w:pPr>
        <w:bidi w:val="0"/>
        <w:spacing w:before="0" w:beforeAutospacing="off" w:after="150" w:afterAutospacing="off"/>
        <w:rPr>
          <w:rFonts w:ascii="Figtree" w:hAnsi="Figtree" w:eastAsia="Figtree" w:cs="Figtree"/>
          <w:noProof w:val="0"/>
          <w:color w:val="1A1A1A"/>
          <w:sz w:val="15"/>
          <w:szCs w:val="15"/>
          <w:lang w:val="en-US"/>
        </w:rPr>
      </w:pPr>
      <w:r w:rsidRPr="4A306E59" w:rsidR="4CBECE53">
        <w:rPr>
          <w:rFonts w:ascii="Figtree" w:hAnsi="Figtree" w:eastAsia="Figtree" w:cs="Figtree"/>
          <w:noProof w:val="0"/>
          <w:color w:val="1A1A1A"/>
          <w:sz w:val="15"/>
          <w:szCs w:val="15"/>
          <w:lang w:val="en-US"/>
        </w:rPr>
        <w:t>Rate observable behavior, decisions, and outcomes, not title, visibility, tenure, confidence, or personal style. Rate the level shown repeatedly in relevant work: one strong example does not establish a higher level, and no one should be rated above a level where a material gap would prevent them from performing at that scope. Use at least two substantive work examples before finalizing a rating.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1650"/>
        <w:gridCol w:w="4305"/>
        <w:gridCol w:w="5205"/>
        <w:gridCol w:w="3825"/>
      </w:tblGrid>
      <w:tr w:rsidR="4A306E59" w:rsidTr="242BB2FD" w14:paraId="4FF4469E">
        <w:trPr>
          <w:trHeight w:val="300"/>
        </w:trPr>
        <w:tc>
          <w:tcPr>
            <w:tcW w:w="1650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5B4B7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4A306E59" w:rsidP="4A306E59" w:rsidRDefault="4A306E59" w14:paraId="5C0FB38D" w14:textId="5CCB334E">
            <w:pPr>
              <w:bidi w:val="0"/>
              <w:spacing w:before="0" w:beforeAutospacing="off" w:after="0" w:afterAutospacing="off"/>
              <w:rPr>
                <w:rFonts w:ascii="Figtree" w:hAnsi="Figtree" w:eastAsia="Figtree" w:cs="Figtree"/>
                <w:b w:val="1"/>
                <w:bCs w:val="1"/>
                <w:color w:val="FFFFFF" w:themeColor="background1" w:themeTint="FF" w:themeShade="FF"/>
                <w:sz w:val="15"/>
                <w:szCs w:val="15"/>
              </w:rPr>
            </w:pPr>
            <w:r w:rsidRPr="4A306E59" w:rsidR="4A306E59">
              <w:rPr>
                <w:rFonts w:ascii="Figtree" w:hAnsi="Figtree" w:eastAsia="Figtree" w:cs="Figtree"/>
                <w:b w:val="1"/>
                <w:bCs w:val="1"/>
                <w:color w:val="FFFFFF" w:themeColor="background1" w:themeTint="FF" w:themeShade="FF"/>
                <w:sz w:val="15"/>
                <w:szCs w:val="15"/>
              </w:rPr>
              <w:t>Level</w:t>
            </w:r>
          </w:p>
        </w:tc>
        <w:tc>
          <w:tcPr>
            <w:tcW w:w="430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5B4B7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4A306E59" w:rsidP="4A306E59" w:rsidRDefault="4A306E59" w14:paraId="31330FB6" w14:textId="2064EAF9">
            <w:pPr>
              <w:bidi w:val="0"/>
              <w:spacing w:before="0" w:beforeAutospacing="off" w:after="0" w:afterAutospacing="off"/>
              <w:rPr>
                <w:rFonts w:ascii="Figtree" w:hAnsi="Figtree" w:eastAsia="Figtree" w:cs="Figtree"/>
                <w:b w:val="1"/>
                <w:bCs w:val="1"/>
                <w:color w:val="FFFFFF" w:themeColor="background1" w:themeTint="FF" w:themeShade="FF"/>
                <w:sz w:val="15"/>
                <w:szCs w:val="15"/>
              </w:rPr>
            </w:pPr>
            <w:r w:rsidRPr="4A306E59" w:rsidR="4A306E59">
              <w:rPr>
                <w:rFonts w:ascii="Figtree" w:hAnsi="Figtree" w:eastAsia="Figtree" w:cs="Figtree"/>
                <w:b w:val="1"/>
                <w:bCs w:val="1"/>
                <w:color w:val="FFFFFF" w:themeColor="background1" w:themeTint="FF" w:themeShade="FF"/>
                <w:sz w:val="15"/>
                <w:szCs w:val="15"/>
              </w:rPr>
              <w:t>Evidence to review</w:t>
            </w:r>
          </w:p>
        </w:tc>
        <w:tc>
          <w:tcPr>
            <w:tcW w:w="520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5B4B7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4A306E59" w:rsidP="4A306E59" w:rsidRDefault="4A306E59" w14:paraId="38C246C3" w14:textId="56009152">
            <w:pPr>
              <w:bidi w:val="0"/>
              <w:spacing w:before="0" w:beforeAutospacing="off" w:after="0" w:afterAutospacing="off"/>
              <w:rPr>
                <w:rFonts w:ascii="Figtree" w:hAnsi="Figtree" w:eastAsia="Figtree" w:cs="Figtree"/>
                <w:b w:val="1"/>
                <w:bCs w:val="1"/>
                <w:color w:val="FFFFFF" w:themeColor="background1" w:themeTint="FF" w:themeShade="FF"/>
                <w:sz w:val="15"/>
                <w:szCs w:val="15"/>
              </w:rPr>
            </w:pPr>
            <w:r w:rsidRPr="4A306E59" w:rsidR="4A306E59">
              <w:rPr>
                <w:rFonts w:ascii="Figtree" w:hAnsi="Figtree" w:eastAsia="Figtree" w:cs="Figtree"/>
                <w:b w:val="1"/>
                <w:bCs w:val="1"/>
                <w:color w:val="FFFFFF" w:themeColor="background1" w:themeTint="FF" w:themeShade="FF"/>
                <w:sz w:val="15"/>
                <w:szCs w:val="15"/>
              </w:rPr>
              <w:t>Calibration prompt to ask</w:t>
            </w:r>
          </w:p>
        </w:tc>
        <w:tc>
          <w:tcPr>
            <w:tcW w:w="382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5B4B7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4A306E59" w:rsidP="4A306E59" w:rsidRDefault="4A306E59" w14:paraId="23D468D2" w14:textId="4919A362">
            <w:pPr>
              <w:bidi w:val="0"/>
              <w:spacing w:before="0" w:beforeAutospacing="off" w:after="0" w:afterAutospacing="off"/>
              <w:rPr>
                <w:rFonts w:ascii="Figtree" w:hAnsi="Figtree" w:eastAsia="Figtree" w:cs="Figtree"/>
                <w:b w:val="1"/>
                <w:bCs w:val="1"/>
                <w:color w:val="FFFFFF" w:themeColor="background1" w:themeTint="FF" w:themeShade="FF"/>
                <w:sz w:val="15"/>
                <w:szCs w:val="15"/>
              </w:rPr>
            </w:pPr>
            <w:r w:rsidRPr="4A306E59" w:rsidR="4A306E59">
              <w:rPr>
                <w:rFonts w:ascii="Figtree" w:hAnsi="Figtree" w:eastAsia="Figtree" w:cs="Figtree"/>
                <w:b w:val="1"/>
                <w:bCs w:val="1"/>
                <w:color w:val="FFFFFF" w:themeColor="background1" w:themeTint="FF" w:themeShade="FF"/>
                <w:sz w:val="15"/>
                <w:szCs w:val="15"/>
              </w:rPr>
              <w:t>Calibration standard for this band</w:t>
            </w:r>
          </w:p>
        </w:tc>
      </w:tr>
      <w:tr w:rsidR="4A306E59" w:rsidTr="242BB2FD" w14:paraId="7C3CDDC0">
        <w:trPr>
          <w:trHeight w:val="300"/>
        </w:trPr>
        <w:tc>
          <w:tcPr>
            <w:tcW w:w="14985" w:type="dxa"/>
            <w:gridSpan w:val="4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EAE0F0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4A306E59" w:rsidP="4A306E59" w:rsidRDefault="4A306E59" w14:paraId="7288958C" w14:textId="7F2FA5C1">
            <w:pPr>
              <w:bidi w:val="0"/>
              <w:spacing w:before="0" w:beforeAutospacing="off" w:after="0" w:afterAutospacing="off"/>
              <w:rPr>
                <w:rFonts w:ascii="Figtree" w:hAnsi="Figtree" w:eastAsia="Figtree" w:cs="Figtree"/>
                <w:b w:val="1"/>
                <w:bCs w:val="1"/>
                <w:color w:val="1F3864"/>
                <w:sz w:val="17"/>
                <w:szCs w:val="17"/>
              </w:rPr>
            </w:pPr>
            <w:r w:rsidRPr="4A306E59" w:rsidR="4A306E59">
              <w:rPr>
                <w:rFonts w:ascii="Figtree" w:hAnsi="Figtree" w:eastAsia="Figtree" w:cs="Figtree"/>
                <w:b w:val="1"/>
                <w:bCs w:val="1"/>
                <w:color w:val="1F3864"/>
                <w:sz w:val="17"/>
                <w:szCs w:val="17"/>
              </w:rPr>
              <w:t>ENGINEERING</w:t>
            </w:r>
          </w:p>
        </w:tc>
      </w:tr>
      <w:tr w:rsidR="4A306E59" w:rsidTr="242BB2FD" w14:paraId="6536254E">
        <w:trPr>
          <w:trHeight w:val="300"/>
        </w:trPr>
        <w:tc>
          <w:tcPr>
            <w:tcW w:w="1650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4F7FB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4A306E59" w:rsidP="4A306E59" w:rsidRDefault="4A306E59" w14:paraId="20F2A1EB" w14:textId="1A4FED7C">
            <w:pPr>
              <w:bidi w:val="0"/>
              <w:spacing w:before="0" w:beforeAutospacing="off" w:after="0" w:afterAutospacing="off"/>
              <w:rPr>
                <w:rFonts w:ascii="Figtree" w:hAnsi="Figtree" w:eastAsia="Figtree" w:cs="Figtree"/>
                <w:b w:val="1"/>
                <w:bCs w:val="1"/>
                <w:color w:val="1A1A1A"/>
                <w:sz w:val="15"/>
                <w:szCs w:val="15"/>
              </w:rPr>
            </w:pPr>
            <w:r w:rsidRPr="4A306E59" w:rsidR="4A306E59">
              <w:rPr>
                <w:rFonts w:ascii="Figtree" w:hAnsi="Figtree" w:eastAsia="Figtree" w:cs="Figtree"/>
                <w:b w:val="1"/>
                <w:bCs w:val="1"/>
                <w:color w:val="1A1A1A"/>
                <w:sz w:val="15"/>
                <w:szCs w:val="15"/>
              </w:rPr>
              <w:t>IC1 Associate Software Engineer</w:t>
            </w:r>
          </w:p>
        </w:tc>
        <w:tc>
          <w:tcPr>
            <w:tcW w:w="4305" w:type="dxa"/>
            <w:tcBorders>
              <w:top w:val="nil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4F7FB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65EDE0A2" w14:textId="4EE375D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1A1A1A"/>
                <w:sz w:val="20"/>
                <w:szCs w:val="20"/>
              </w:rPr>
            </w:pPr>
            <w:r w:rsidRPr="242BB2FD" w:rsidR="242BB2FD"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A guided task or small capability, with a mentor's input visible in the pull-request history.</w:t>
            </w:r>
          </w:p>
        </w:tc>
        <w:tc>
          <w:tcPr>
            <w:tcW w:w="5205" w:type="dxa"/>
            <w:tcBorders>
              <w:top w:val="nil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4F7FB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7B016A75" w14:textId="4D62FF3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1A1A1A"/>
                <w:sz w:val="20"/>
                <w:szCs w:val="20"/>
              </w:rPr>
            </w:pPr>
            <w:r w:rsidRPr="242BB2FD" w:rsidR="242BB2FD"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Ask them to walk through a recent pull request: what decisions were theirs, and where did they check with someone first?</w:t>
            </w:r>
          </w:p>
        </w:tc>
        <w:tc>
          <w:tcPr>
            <w:tcW w:w="3825" w:type="dxa"/>
            <w:tcBorders>
              <w:top w:val="nil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4F7FB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46961C39" w14:textId="4960FA2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1A1A1A"/>
                <w:sz w:val="20"/>
                <w:szCs w:val="20"/>
              </w:rPr>
            </w:pPr>
            <w:r w:rsidRPr="242BB2FD" w:rsidR="242BB2FD"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Legitimate development stage. One guided example is expected here, not a track record.</w:t>
            </w:r>
          </w:p>
        </w:tc>
      </w:tr>
      <w:tr w:rsidR="4A306E59" w:rsidTr="242BB2FD" w14:paraId="4906C6AE">
        <w:trPr>
          <w:trHeight w:val="300"/>
        </w:trPr>
        <w:tc>
          <w:tcPr>
            <w:tcW w:w="1650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4F7FB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4A306E59" w:rsidP="4A306E59" w:rsidRDefault="4A306E59" w14:paraId="3A1AB39E" w14:textId="334CD196">
            <w:pPr>
              <w:bidi w:val="0"/>
              <w:spacing w:before="0" w:beforeAutospacing="off" w:after="0" w:afterAutospacing="off"/>
              <w:rPr>
                <w:rFonts w:ascii="Figtree" w:hAnsi="Figtree" w:eastAsia="Figtree" w:cs="Figtree"/>
                <w:b w:val="1"/>
                <w:bCs w:val="1"/>
                <w:color w:val="1A1A1A"/>
                <w:sz w:val="15"/>
                <w:szCs w:val="15"/>
              </w:rPr>
            </w:pPr>
            <w:r w:rsidRPr="4A306E59" w:rsidR="4A306E59">
              <w:rPr>
                <w:rFonts w:ascii="Figtree" w:hAnsi="Figtree" w:eastAsia="Figtree" w:cs="Figtree"/>
                <w:b w:val="1"/>
                <w:bCs w:val="1"/>
                <w:color w:val="1A1A1A"/>
                <w:sz w:val="15"/>
                <w:szCs w:val="15"/>
              </w:rPr>
              <w:t>IC2 Software Engineer</w:t>
            </w:r>
          </w:p>
        </w:tc>
        <w:tc>
          <w:tcPr>
            <w:tcW w:w="430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4F7FB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25793D40" w14:textId="49760389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1A1A1A"/>
                <w:sz w:val="20"/>
                <w:szCs w:val="20"/>
              </w:rPr>
            </w:pPr>
            <w:r w:rsidRPr="242BB2FD" w:rsidR="242BB2FD"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An independently built capability or endpoint set, with evidence of self-directed delivery and a clear productivity trend.</w:t>
            </w:r>
          </w:p>
        </w:tc>
        <w:tc>
          <w:tcPr>
            <w:tcW w:w="520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4F7FB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2F90F7E1" w14:textId="47E996BE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1A1A1A"/>
                <w:sz w:val="20"/>
                <w:szCs w:val="20"/>
              </w:rPr>
            </w:pPr>
            <w:r w:rsidRPr="242BB2FD" w:rsidR="242BB2FD"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Ask what they escalated or paired on this period and why, versus what they delivered on their own.</w:t>
            </w:r>
          </w:p>
        </w:tc>
        <w:tc>
          <w:tcPr>
            <w:tcW w:w="382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4F7FB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47CA4788" w14:textId="3D5C5EB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1A1A1A"/>
                <w:sz w:val="20"/>
                <w:szCs w:val="20"/>
              </w:rPr>
            </w:pPr>
            <w:r w:rsidRPr="242BB2FD" w:rsidR="242BB2FD"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Reliable execution. Look for repeatable independent delivery, not a single success.</w:t>
            </w:r>
          </w:p>
        </w:tc>
      </w:tr>
      <w:tr w:rsidR="4A306E59" w:rsidTr="242BB2FD" w14:paraId="4AD396AC">
        <w:trPr>
          <w:trHeight w:val="300"/>
        </w:trPr>
        <w:tc>
          <w:tcPr>
            <w:tcW w:w="1650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CF6E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4A306E59" w:rsidP="4A306E59" w:rsidRDefault="4A306E59" w14:paraId="6145C715" w14:textId="50AF9082">
            <w:pPr>
              <w:bidi w:val="0"/>
              <w:spacing w:before="0" w:beforeAutospacing="off" w:after="0" w:afterAutospacing="off"/>
              <w:rPr>
                <w:rFonts w:ascii="Figtree" w:hAnsi="Figtree" w:eastAsia="Figtree" w:cs="Figtree"/>
                <w:b w:val="1"/>
                <w:bCs w:val="1"/>
                <w:color w:val="1A1A1A"/>
                <w:sz w:val="15"/>
                <w:szCs w:val="15"/>
              </w:rPr>
            </w:pPr>
            <w:r w:rsidRPr="4A306E59" w:rsidR="4A306E59">
              <w:rPr>
                <w:rFonts w:ascii="Figtree" w:hAnsi="Figtree" w:eastAsia="Figtree" w:cs="Figtree"/>
                <w:b w:val="1"/>
                <w:bCs w:val="1"/>
                <w:color w:val="1A1A1A"/>
                <w:sz w:val="15"/>
                <w:szCs w:val="15"/>
              </w:rPr>
              <w:t>IC3 Senior Software Engineer</w:t>
            </w:r>
          </w:p>
        </w:tc>
        <w:tc>
          <w:tcPr>
            <w:tcW w:w="430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CF6E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3256FCAA" w14:textId="0AFE9068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1A1A1A"/>
                <w:sz w:val="20"/>
                <w:szCs w:val="20"/>
              </w:rPr>
            </w:pPr>
            <w:r w:rsidRPr="242BB2FD" w:rsidR="242BB2FD"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A capability area or service owned end to end, with pull requests that held up without rejection and evidence of one-on-one mentoring.</w:t>
            </w:r>
          </w:p>
        </w:tc>
        <w:tc>
          <w:tcPr>
            <w:tcW w:w="520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CF6E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3BB70ED4" w14:textId="7FB3343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1A1A1A"/>
                <w:sz w:val="20"/>
                <w:szCs w:val="20"/>
              </w:rPr>
            </w:pPr>
            <w:r w:rsidRPr="242BB2FD" w:rsidR="242BB2FD"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Review a complex delivery and ask how trade-offs were evaluated and how mentoring was handled.</w:t>
            </w:r>
          </w:p>
        </w:tc>
        <w:tc>
          <w:tcPr>
            <w:tcW w:w="382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CF6E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1FB7B9D7" w14:textId="1C74206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1A1A1A"/>
                <w:sz w:val="20"/>
                <w:szCs w:val="20"/>
              </w:rPr>
            </w:pPr>
            <w:r w:rsidRPr="242BB2FD" w:rsidR="242BB2FD"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Sustained independent ownership. Confirm this across more than one delivery, not one strong release.</w:t>
            </w:r>
          </w:p>
        </w:tc>
      </w:tr>
      <w:tr w:rsidR="4A306E59" w:rsidTr="242BB2FD" w14:paraId="18B552BF">
        <w:trPr>
          <w:trHeight w:val="300"/>
        </w:trPr>
        <w:tc>
          <w:tcPr>
            <w:tcW w:w="1650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CF6E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4A306E59" w:rsidP="4A306E59" w:rsidRDefault="4A306E59" w14:paraId="4121450F" w14:textId="79836139">
            <w:pPr>
              <w:bidi w:val="0"/>
              <w:spacing w:before="0" w:beforeAutospacing="off" w:after="0" w:afterAutospacing="off"/>
              <w:rPr>
                <w:rFonts w:ascii="Figtree" w:hAnsi="Figtree" w:eastAsia="Figtree" w:cs="Figtree"/>
                <w:b w:val="1"/>
                <w:bCs w:val="1"/>
                <w:color w:val="1A1A1A"/>
                <w:sz w:val="15"/>
                <w:szCs w:val="15"/>
              </w:rPr>
            </w:pPr>
            <w:r w:rsidRPr="4A306E59" w:rsidR="4A306E59">
              <w:rPr>
                <w:rFonts w:ascii="Figtree" w:hAnsi="Figtree" w:eastAsia="Figtree" w:cs="Figtree"/>
                <w:b w:val="1"/>
                <w:bCs w:val="1"/>
                <w:color w:val="1A1A1A"/>
                <w:sz w:val="15"/>
                <w:szCs w:val="15"/>
              </w:rPr>
              <w:t>IC4 Principal Software Engineer</w:t>
            </w:r>
          </w:p>
        </w:tc>
        <w:tc>
          <w:tcPr>
            <w:tcW w:w="430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CF6E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52CC59A5" w14:textId="5A23D27C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1A1A1A"/>
                <w:sz w:val="20"/>
                <w:szCs w:val="20"/>
              </w:rPr>
            </w:pPr>
            <w:r w:rsidRPr="242BB2FD" w:rsidR="242BB2FD"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A reference architecture or standard for a major capability area, with evidence other teams built against it.</w:t>
            </w:r>
          </w:p>
        </w:tc>
        <w:tc>
          <w:tcPr>
            <w:tcW w:w="520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CF6E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770EB7FD" w14:textId="4C10913C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1A1A1A"/>
                <w:sz w:val="20"/>
                <w:szCs w:val="20"/>
              </w:rPr>
            </w:pPr>
            <w:r w:rsidRPr="242BB2FD" w:rsidR="242BB2FD"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Provide an ambiguous AI or platform problem and ask for the architecture, guardrails, risks, and adoption plan.</w:t>
            </w:r>
          </w:p>
        </w:tc>
        <w:tc>
          <w:tcPr>
            <w:tcW w:w="382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CF6E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5EDDE52B" w14:textId="50D4742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1A1A1A"/>
                <w:sz w:val="20"/>
                <w:szCs w:val="20"/>
              </w:rPr>
            </w:pPr>
            <w:r w:rsidRPr="242BB2FD" w:rsidR="242BB2FD"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Sustained strategic influence. Require repeated cross-team evidence, not a single successful prototype.</w:t>
            </w:r>
          </w:p>
        </w:tc>
      </w:tr>
      <w:tr w:rsidR="4A306E59" w:rsidTr="242BB2FD" w14:paraId="242894E4">
        <w:trPr>
          <w:trHeight w:val="300"/>
        </w:trPr>
        <w:tc>
          <w:tcPr>
            <w:tcW w:w="1650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CF6E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4A306E59" w:rsidP="4A306E59" w:rsidRDefault="4A306E59" w14:paraId="47F111C5" w14:textId="65F97D06">
            <w:pPr>
              <w:bidi w:val="0"/>
              <w:spacing w:before="0" w:beforeAutospacing="off" w:after="0" w:afterAutospacing="off"/>
              <w:rPr>
                <w:rFonts w:ascii="Figtree" w:hAnsi="Figtree" w:eastAsia="Figtree" w:cs="Figtree"/>
                <w:b w:val="1"/>
                <w:bCs w:val="1"/>
                <w:color w:val="1A1A1A"/>
                <w:sz w:val="15"/>
                <w:szCs w:val="15"/>
              </w:rPr>
            </w:pPr>
            <w:r w:rsidRPr="4A306E59" w:rsidR="4A306E59">
              <w:rPr>
                <w:rFonts w:ascii="Figtree" w:hAnsi="Figtree" w:eastAsia="Figtree" w:cs="Figtree"/>
                <w:b w:val="1"/>
                <w:bCs w:val="1"/>
                <w:color w:val="1A1A1A"/>
                <w:sz w:val="15"/>
                <w:szCs w:val="15"/>
              </w:rPr>
              <w:t>IC5 Sr. Principal Software Architect</w:t>
            </w:r>
          </w:p>
        </w:tc>
        <w:tc>
          <w:tcPr>
            <w:tcW w:w="430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CF6E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1BF932E4" w14:textId="50A80970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1A1A1A"/>
                <w:sz w:val="20"/>
                <w:szCs w:val="20"/>
              </w:rPr>
            </w:pPr>
            <w:r w:rsidRPr="242BB2FD" w:rsidR="242BB2FD"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An architectural roadmap for a domain, plus evidence it was represented and adopted in reviews or executive forums.</w:t>
            </w:r>
          </w:p>
        </w:tc>
        <w:tc>
          <w:tcPr>
            <w:tcW w:w="520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CF6E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107C41B0" w14:textId="4461CC80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1A1A1A"/>
                <w:sz w:val="20"/>
                <w:szCs w:val="20"/>
              </w:rPr>
            </w:pPr>
            <w:r w:rsidRPr="242BB2FD" w:rsidR="242BB2FD"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Ask for the leanest credible case behind a recent architecture decision, and who adopted it.</w:t>
            </w:r>
          </w:p>
        </w:tc>
        <w:tc>
          <w:tcPr>
            <w:tcW w:w="382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CF6E3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1213CDCA" w14:textId="663FA84C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1A1A1A"/>
                <w:sz w:val="20"/>
                <w:szCs w:val="20"/>
              </w:rPr>
            </w:pPr>
            <w:r w:rsidRPr="242BB2FD" w:rsidR="242BB2FD"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Sustained strategic influence. One well-received roadmap is not enough; look for it being adopted more than once.</w:t>
            </w:r>
          </w:p>
        </w:tc>
      </w:tr>
      <w:tr w:rsidR="4A306E59" w:rsidTr="242BB2FD" w14:paraId="2BFBA6F0">
        <w:trPr>
          <w:trHeight w:val="300"/>
        </w:trPr>
        <w:tc>
          <w:tcPr>
            <w:tcW w:w="1650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6EE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4A306E59" w:rsidP="4A306E59" w:rsidRDefault="4A306E59" w14:paraId="4431A5C1" w14:textId="63093280">
            <w:pPr>
              <w:bidi w:val="0"/>
              <w:spacing w:before="0" w:beforeAutospacing="off" w:after="0" w:afterAutospacing="off"/>
              <w:rPr>
                <w:rFonts w:ascii="Figtree" w:hAnsi="Figtree" w:eastAsia="Figtree" w:cs="Figtree"/>
                <w:b w:val="1"/>
                <w:bCs w:val="1"/>
                <w:color w:val="1A1A1A"/>
                <w:sz w:val="15"/>
                <w:szCs w:val="15"/>
              </w:rPr>
            </w:pPr>
            <w:r w:rsidRPr="4A306E59" w:rsidR="4A306E59">
              <w:rPr>
                <w:rFonts w:ascii="Figtree" w:hAnsi="Figtree" w:eastAsia="Figtree" w:cs="Figtree"/>
                <w:b w:val="1"/>
                <w:bCs w:val="1"/>
                <w:color w:val="1A1A1A"/>
                <w:sz w:val="15"/>
                <w:szCs w:val="15"/>
              </w:rPr>
              <w:t>IC6 Advisory Software Architect</w:t>
            </w:r>
          </w:p>
        </w:tc>
        <w:tc>
          <w:tcPr>
            <w:tcW w:w="430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6EE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545271B7" w14:textId="3490390E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1A1A1A"/>
                <w:sz w:val="20"/>
                <w:szCs w:val="20"/>
              </w:rPr>
            </w:pPr>
            <w:r w:rsidRPr="242BB2FD" w:rsidR="242BB2FD"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A security, automation, or performance practice adopted by teams beyond their own.</w:t>
            </w:r>
          </w:p>
        </w:tc>
        <w:tc>
          <w:tcPr>
            <w:tcW w:w="520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6EE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3640FAE3" w14:textId="114B142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1A1A1A"/>
                <w:sz w:val="20"/>
                <w:szCs w:val="20"/>
              </w:rPr>
            </w:pPr>
            <w:r w:rsidRPr="242BB2FD" w:rsidR="242BB2FD"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Ask what changed in how another team builds or ships because of this practice, and how they know.</w:t>
            </w:r>
          </w:p>
        </w:tc>
        <w:tc>
          <w:tcPr>
            <w:tcW w:w="382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6EE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7C84EA25" w14:textId="6055D533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1A1A1A"/>
                <w:sz w:val="20"/>
                <w:szCs w:val="20"/>
              </w:rPr>
            </w:pPr>
            <w:r w:rsidRPr="242BB2FD" w:rsidR="242BB2FD"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Rare, explicit, durable evidence. One portfolio-level example is not enough on its own.</w:t>
            </w:r>
          </w:p>
        </w:tc>
      </w:tr>
      <w:tr w:rsidR="4A306E59" w:rsidTr="242BB2FD" w14:paraId="6DDBBB7E">
        <w:trPr>
          <w:trHeight w:val="300"/>
        </w:trPr>
        <w:tc>
          <w:tcPr>
            <w:tcW w:w="1650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6EE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4A306E59" w:rsidP="4A306E59" w:rsidRDefault="4A306E59" w14:paraId="3BDBAA98" w14:textId="3E2D9DDA">
            <w:pPr>
              <w:bidi w:val="0"/>
              <w:spacing w:before="0" w:beforeAutospacing="off" w:after="0" w:afterAutospacing="off"/>
              <w:rPr>
                <w:rFonts w:ascii="Figtree" w:hAnsi="Figtree" w:eastAsia="Figtree" w:cs="Figtree"/>
                <w:b w:val="1"/>
                <w:bCs w:val="1"/>
                <w:color w:val="1A1A1A"/>
                <w:sz w:val="15"/>
                <w:szCs w:val="15"/>
              </w:rPr>
            </w:pPr>
            <w:r w:rsidRPr="4A306E59" w:rsidR="4A306E59">
              <w:rPr>
                <w:rFonts w:ascii="Figtree" w:hAnsi="Figtree" w:eastAsia="Figtree" w:cs="Figtree"/>
                <w:b w:val="1"/>
                <w:bCs w:val="1"/>
                <w:color w:val="1A1A1A"/>
                <w:sz w:val="15"/>
                <w:szCs w:val="15"/>
              </w:rPr>
              <w:t>IC7 Sr. Advisory Software Architect</w:t>
            </w:r>
          </w:p>
        </w:tc>
        <w:tc>
          <w:tcPr>
            <w:tcW w:w="430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6EE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41D2530B" w14:textId="12A6F51E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1A1A1A"/>
                <w:sz w:val="20"/>
                <w:szCs w:val="20"/>
              </w:rPr>
            </w:pPr>
            <w:r w:rsidRPr="242BB2FD" w:rsidR="242BB2FD"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A company-wide technical direction or investment decision that changed because of their input, not just a platform recommendation.</w:t>
            </w:r>
          </w:p>
        </w:tc>
        <w:tc>
          <w:tcPr>
            <w:tcW w:w="520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6EE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3AE1CF48" w14:textId="76262A2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1A1A1A"/>
                <w:sz w:val="20"/>
                <w:szCs w:val="20"/>
              </w:rPr>
            </w:pPr>
            <w:r w:rsidRPr="242BB2FD" w:rsidR="242BB2FD"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Ask what decision changed at the company level, and what would have happened without their involvement.</w:t>
            </w:r>
          </w:p>
        </w:tc>
        <w:tc>
          <w:tcPr>
            <w:tcW w:w="3825" w:type="dxa"/>
            <w:tcBorders>
              <w:top w:val="single" w:color="B9C4D4" w:sz="8"/>
              <w:left w:val="single" w:color="B9C4D4" w:sz="8"/>
              <w:bottom w:val="single" w:color="B9C4D4" w:sz="8"/>
              <w:right w:val="single" w:color="B9C4D4" w:sz="8"/>
            </w:tcBorders>
            <w:shd w:val="clear" w:color="auto" w:fill="F6EE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242BB2FD" w:rsidP="242BB2FD" w:rsidRDefault="242BB2FD" w14:paraId="739646B1" w14:textId="621BA90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1A1A1A"/>
                <w:sz w:val="20"/>
                <w:szCs w:val="20"/>
              </w:rPr>
            </w:pPr>
            <w:r w:rsidRPr="242BB2FD" w:rsidR="242BB2FD"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Rare, explicit, durable evidence. Require repeated impact across scope and time, not one enterprise moment.</w:t>
            </w:r>
          </w:p>
        </w:tc>
      </w:tr>
    </w:tbl>
    <w:p xmlns:wp14="http://schemas.microsoft.com/office/word/2010/wordml" w:rsidP="4A306E59" wp14:paraId="63D7A6BA" wp14:textId="0CA47680">
      <w:pPr>
        <w:bidi w:val="0"/>
        <w:spacing w:before="140" w:beforeAutospacing="off" w:after="0" w:afterAutospacing="off"/>
        <w:rPr>
          <w:rFonts w:ascii="Figtree" w:hAnsi="Figtree" w:eastAsia="Figtree" w:cs="Figtree"/>
          <w:i w:val="1"/>
          <w:iCs w:val="1"/>
          <w:noProof w:val="0"/>
          <w:color w:val="666666"/>
          <w:sz w:val="12"/>
          <w:szCs w:val="12"/>
          <w:lang w:val="en-US"/>
        </w:rPr>
      </w:pPr>
      <w:r w:rsidRPr="4A306E59" w:rsidR="4CBECE53">
        <w:rPr>
          <w:rFonts w:ascii="Figtree" w:hAnsi="Figtree" w:eastAsia="Figtree" w:cs="Figtree"/>
          <w:i w:val="1"/>
          <w:iCs w:val="1"/>
          <w:noProof w:val="0"/>
          <w:color w:val="666666"/>
          <w:sz w:val="12"/>
          <w:szCs w:val="12"/>
          <w:lang w:val="en-US"/>
        </w:rPr>
        <w:t>Sources: JD - Engineering roles (Associate Cloud Engineer - ComputerEase; Software Engineer; Senior Software Engineer; Principal Solutions Architect (AI); Senior Principal Cloud Architect; Advisory Software Architect); Engineering Career Ladder Checklist - Replicon.xlsx; ET Core Competencies (Engineering &amp; Technology Core Competencies, Skills Assessment Summary, and IC I-VII rating tabs); ET Core Competencies Learning Path.pdf; Software Engineer Learning Path.pdf; Level 3 - Full Stack Updated 6.docx; Level 3-4 - Full Stack (FabricPowerBI) 1.docx; AI-SDLC AOP Slides.pptx (AI-SDLC phases and L0-L5 autonomy levels); PT_AI_Fluency_Calibration_Guide.pptx (slide 8, Engineering column of the P&amp;T AI Fluency role-based expressions). Software Engineer Competencies.xltx was provided but could not be read: Microsoft Graph blocked text extraction because the file carries a Purview sensitivity label.</w:t>
      </w:r>
    </w:p>
    <w:p xmlns:wp14="http://schemas.microsoft.com/office/word/2010/wordml" w:rsidP="4A306E59" wp14:paraId="2C078E63" wp14:textId="6E61096B">
      <w:pPr>
        <w:rPr>
          <w:rFonts w:ascii="Figtree" w:hAnsi="Figtree" w:eastAsia="Figtree" w:cs="Figtree"/>
        </w:rPr>
      </w:pPr>
    </w:p>
    <w:sectPr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F03BE8"/>
    <w:rsid w:val="0B7A2FBF"/>
    <w:rsid w:val="0B7A2FBF"/>
    <w:rsid w:val="139E31C7"/>
    <w:rsid w:val="242BB2FD"/>
    <w:rsid w:val="2528BA72"/>
    <w:rsid w:val="29396DA2"/>
    <w:rsid w:val="2D3C2A44"/>
    <w:rsid w:val="471FB59B"/>
    <w:rsid w:val="479860BA"/>
    <w:rsid w:val="48981D82"/>
    <w:rsid w:val="4A306E59"/>
    <w:rsid w:val="4CBECE53"/>
    <w:rsid w:val="5A3FF130"/>
    <w:rsid w:val="5AECEF7A"/>
    <w:rsid w:val="62F03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312E1"/>
  <w15:chartTrackingRefBased/>
  <w15:docId w15:val="{C8801E9C-4CA6-42D6-B408-0742FC45A1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4954C7FB7E6B4AA03F719316186868" ma:contentTypeVersion="9" ma:contentTypeDescription="Create a new document." ma:contentTypeScope="" ma:versionID="cdae3c17f6d8b7d8d2367ad5245e139e">
  <xsd:schema xmlns:xsd="http://www.w3.org/2001/XMLSchema" xmlns:xs="http://www.w3.org/2001/XMLSchema" xmlns:p="http://schemas.microsoft.com/office/2006/metadata/properties" xmlns:ns2="2b7b2095-cdae-428c-8f83-1564f06f09aa" xmlns:ns3="d81e0c54-506a-4c19-a474-6c6856aeb547" targetNamespace="http://schemas.microsoft.com/office/2006/metadata/properties" ma:root="true" ma:fieldsID="04db0818c05a20dba72f2bba93384388" ns2:_="" ns3:_="">
    <xsd:import namespace="2b7b2095-cdae-428c-8f83-1564f06f09aa"/>
    <xsd:import namespace="d81e0c54-506a-4c19-a474-6c6856aeb5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7b2095-cdae-428c-8f83-1564f06f09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1e0c54-506a-4c19-a474-6c6856aeb54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66C195-5F50-4404-B5F0-58A2261E863D}"/>
</file>

<file path=customXml/itemProps2.xml><?xml version="1.0" encoding="utf-8"?>
<ds:datastoreItem xmlns:ds="http://schemas.openxmlformats.org/officeDocument/2006/customXml" ds:itemID="{D247EEB3-070F-42EC-BD97-378750A76220}"/>
</file>

<file path=customXml/itemProps3.xml><?xml version="1.0" encoding="utf-8"?>
<ds:datastoreItem xmlns:ds="http://schemas.openxmlformats.org/officeDocument/2006/customXml" ds:itemID="{7541E8DB-87C5-472E-8E7B-D5A166DDA99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Lisa Rabideau</dc:creator>
  <keywords/>
  <dc:description/>
  <lastModifiedBy>Lisa Rabideau</lastModifiedBy>
  <dcterms:created xsi:type="dcterms:W3CDTF">2026-10-11T22:00:37.0000000Z</dcterms:created>
  <dcterms:modified xsi:type="dcterms:W3CDTF">2026-10-14T14:49:05.9863381Z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0x010100854954C7FB7E6B4AA03F719316186868</vt:lpwstr>
  </property>
  <property fmtid="{D5CDD505-2E9C-101B-9397-08002B2CF9AE}" pid="4" name="docLang">
    <vt:lpwstr>en</vt:lpwstr>
  </property>
</Properties>
</file>