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8D37" w14:textId="77777777" w:rsidR="002A6860" w:rsidRDefault="002A68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D744487" w14:textId="77777777" w:rsidR="002A6860" w:rsidRDefault="00026C70">
      <w:pPr>
        <w:pStyle w:val="Heading2"/>
      </w:pPr>
      <w:r>
        <w:t>Introduction:</w:t>
      </w:r>
    </w:p>
    <w:p w14:paraId="676535D6" w14:textId="63D320E9" w:rsidR="002A6860" w:rsidRDefault="00BD018A">
      <w:r>
        <w:t xml:space="preserve">Internet of Things (IOT) climate control solutions, </w:t>
      </w:r>
      <w:r w:rsidR="00C61B60">
        <w:t>from</w:t>
      </w:r>
      <w:r w:rsidR="00026C70">
        <w:t xml:space="preserve"> single home </w:t>
      </w:r>
      <w:r w:rsidR="00C61B60">
        <w:t>to</w:t>
      </w:r>
      <w:r w:rsidR="00026C70">
        <w:t xml:space="preserve"> multiple </w:t>
      </w:r>
      <w:r w:rsidR="00BD4899">
        <w:t>building</w:t>
      </w:r>
      <w:r>
        <w:t>s,</w:t>
      </w:r>
      <w:r w:rsidR="00026C70">
        <w:t xml:space="preserve"> utilize similar communication and control design</w:t>
      </w:r>
      <w:r w:rsidR="00C61B60">
        <w:t>s</w:t>
      </w:r>
      <w:r w:rsidR="00026C70">
        <w:t xml:space="preserve">, differing </w:t>
      </w:r>
      <w:r w:rsidR="00C61B60">
        <w:t xml:space="preserve">primarily </w:t>
      </w:r>
      <w:r w:rsidR="00026C70">
        <w:t xml:space="preserve">in </w:t>
      </w:r>
      <w:r w:rsidR="00BD4899">
        <w:t xml:space="preserve">protection requirements and </w:t>
      </w:r>
      <w:r w:rsidR="00C61B60">
        <w:t xml:space="preserve">controlled </w:t>
      </w:r>
      <w:r w:rsidR="00026C70">
        <w:t>element</w:t>
      </w:r>
      <w:r w:rsidR="00C61B60">
        <w:t xml:space="preserve"> numbers.</w:t>
      </w:r>
      <w:r w:rsidR="00026C70">
        <w:t xml:space="preserve"> </w:t>
      </w:r>
      <w:r w:rsidR="005E2EA5">
        <w:t>This system</w:t>
      </w:r>
      <w:r w:rsidR="005E3BE3">
        <w:t xml:space="preserve"> (Fig. 1)</w:t>
      </w:r>
      <w:r w:rsidR="005E2EA5">
        <w:t xml:space="preserve"> will </w:t>
      </w:r>
      <w:r w:rsidR="00876E65">
        <w:t>provide</w:t>
      </w:r>
      <w:r w:rsidR="00DD5DF1">
        <w:t xml:space="preserve"> personalized temperature control within individual areas like an apartment or shop </w:t>
      </w:r>
      <w:r w:rsidR="00026C70">
        <w:t>us</w:t>
      </w:r>
      <w:r w:rsidR="00DD5DF1">
        <w:t>ing</w:t>
      </w:r>
      <w:r w:rsidR="00026C70">
        <w:t xml:space="preserve"> an internet-based application</w:t>
      </w:r>
      <w:r w:rsidR="005E2EA5">
        <w:t xml:space="preserve">. </w:t>
      </w:r>
      <w:r w:rsidR="00687686">
        <w:t>Property</w:t>
      </w:r>
      <w:r w:rsidR="00100EF1">
        <w:t xml:space="preserve"> owner</w:t>
      </w:r>
      <w:r w:rsidR="00687686">
        <w:t>s</w:t>
      </w:r>
      <w:r w:rsidR="00100EF1">
        <w:t xml:space="preserve"> monitor </w:t>
      </w:r>
      <w:r w:rsidR="00A60D88">
        <w:t xml:space="preserve">equipment for maintenance </w:t>
      </w:r>
      <w:r w:rsidR="00687686">
        <w:t xml:space="preserve">and </w:t>
      </w:r>
      <w:r w:rsidR="00100EF1">
        <w:t xml:space="preserve">control </w:t>
      </w:r>
      <w:r w:rsidR="00A60D88">
        <w:t>m</w:t>
      </w:r>
      <w:r w:rsidR="00026C70">
        <w:t>inimum and maximum temperature limits</w:t>
      </w:r>
      <w:r w:rsidR="00100EF1">
        <w:t>.</w:t>
      </w:r>
      <w:r w:rsidR="00026C70">
        <w:t xml:space="preserve"> </w:t>
      </w:r>
      <w:r w:rsidR="007D260D">
        <w:t>D</w:t>
      </w:r>
      <w:r w:rsidR="000D4E6F">
        <w:t xml:space="preserve">ata communication </w:t>
      </w:r>
      <w:r w:rsidR="001D2795">
        <w:t xml:space="preserve">between </w:t>
      </w:r>
      <w:r w:rsidR="001942CF">
        <w:t xml:space="preserve">central </w:t>
      </w:r>
      <w:r w:rsidR="000D4E6F">
        <w:t xml:space="preserve">application </w:t>
      </w:r>
      <w:r w:rsidR="001D2795">
        <w:t xml:space="preserve">and </w:t>
      </w:r>
      <w:r w:rsidR="001942CF">
        <w:t xml:space="preserve">remote individual </w:t>
      </w:r>
      <w:r w:rsidR="00026C70">
        <w:t xml:space="preserve">devices </w:t>
      </w:r>
      <w:r w:rsidR="00DF0FCB">
        <w:t xml:space="preserve">utilizes </w:t>
      </w:r>
      <w:r w:rsidR="00C039FD">
        <w:t xml:space="preserve">the </w:t>
      </w:r>
      <w:r w:rsidR="00026C70">
        <w:t xml:space="preserve">MQTT </w:t>
      </w:r>
      <w:r w:rsidR="00D11D99">
        <w:t>messaging</w:t>
      </w:r>
      <w:r w:rsidR="00C039FD">
        <w:t xml:space="preserve"> protocol</w:t>
      </w:r>
      <w:r w:rsidR="00026C70">
        <w:t xml:space="preserve"> on a private network. MQTT </w:t>
      </w:r>
      <w:r w:rsidR="00D86007">
        <w:t>provides a</w:t>
      </w:r>
      <w:r w:rsidR="00026C70">
        <w:t xml:space="preserve"> flexible messaging format, publish/subscribe model, security, and quality of service options</w:t>
      </w:r>
      <w:r w:rsidR="00874E4F">
        <w:t xml:space="preserve"> </w:t>
      </w:r>
      <w:sdt>
        <w:sdtPr>
          <w:id w:val="-465274597"/>
          <w:citation/>
        </w:sdtPr>
        <w:sdtEndPr/>
        <w:sdtContent>
          <w:r w:rsidR="00874E4F">
            <w:fldChar w:fldCharType="begin"/>
          </w:r>
          <w:r w:rsidR="00874E4F">
            <w:instrText xml:space="preserve"> CITATION OAS19 \l 1033 </w:instrText>
          </w:r>
          <w:r w:rsidR="00874E4F">
            <w:fldChar w:fldCharType="separate"/>
          </w:r>
          <w:r w:rsidR="00874E4F" w:rsidRPr="00874E4F">
            <w:rPr>
              <w:noProof/>
            </w:rPr>
            <w:t>(OASIS Open, 2019)</w:t>
          </w:r>
          <w:r w:rsidR="00874E4F">
            <w:fldChar w:fldCharType="end"/>
          </w:r>
        </w:sdtContent>
      </w:sdt>
      <w:r w:rsidR="00026C70">
        <w:t>.</w:t>
      </w:r>
    </w:p>
    <w:p w14:paraId="30CF3E31" w14:textId="302F9F6F" w:rsidR="002A6860" w:rsidRDefault="000E323E">
      <w:pPr>
        <w:rPr>
          <w:shd w:val="clear" w:color="auto" w:fill="FFD966"/>
        </w:rPr>
      </w:pPr>
      <w:r>
        <w:rPr>
          <w:noProof/>
        </w:rPr>
        <w:drawing>
          <wp:inline distT="0" distB="0" distL="0" distR="0" wp14:anchorId="38E987A9" wp14:editId="02FD09DB">
            <wp:extent cx="5943600" cy="389826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A369" w14:textId="406FCB88" w:rsidR="002A6860" w:rsidRDefault="002A6860">
      <w:pPr>
        <w:keepNext/>
      </w:pPr>
    </w:p>
    <w:p w14:paraId="0336C32C" w14:textId="254795F0" w:rsidR="002A6860" w:rsidRDefault="00026C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1 IOT Climate Control use cases</w:t>
      </w:r>
    </w:p>
    <w:p w14:paraId="66EA2229" w14:textId="77777777" w:rsidR="002A6860" w:rsidRDefault="002A6860"/>
    <w:p w14:paraId="3F2D5B0F" w14:textId="52BA9845" w:rsidR="002A6860" w:rsidRDefault="000C11AB">
      <w:r>
        <w:t>T</w:t>
      </w:r>
      <w:r w:rsidR="00026C70">
        <w:t>he</w:t>
      </w:r>
      <w:r w:rsidR="0002692C">
        <w:t xml:space="preserve"> potential </w:t>
      </w:r>
      <w:r w:rsidR="00026C70">
        <w:t>impact</w:t>
      </w:r>
      <w:r w:rsidR="00166B83">
        <w:t xml:space="preserve"> </w:t>
      </w:r>
      <w:r w:rsidR="00026C70">
        <w:t xml:space="preserve">to property and persons compared </w:t>
      </w:r>
      <w:r w:rsidR="00166B83">
        <w:t>with</w:t>
      </w:r>
      <w:r w:rsidR="00026C70">
        <w:t xml:space="preserve"> a s</w:t>
      </w:r>
      <w:r w:rsidR="00987C22">
        <w:t xml:space="preserve">mall </w:t>
      </w:r>
      <w:r w:rsidR="00026C70">
        <w:t xml:space="preserve">consumer system </w:t>
      </w:r>
      <w:r>
        <w:t xml:space="preserve">dictates </w:t>
      </w:r>
      <w:r w:rsidR="00026C70">
        <w:t xml:space="preserve">the design process follow the systems engineering V-model (Fig. 2). </w:t>
      </w:r>
      <w:r w:rsidR="000A4A7D">
        <w:t xml:space="preserve">The current design phase is focused on cyber security attack surfaces and </w:t>
      </w:r>
      <w:r w:rsidR="00DE3C1D">
        <w:t>countermeasures</w:t>
      </w:r>
      <w:r w:rsidR="000A4A7D">
        <w:t xml:space="preserve"> and t</w:t>
      </w:r>
      <w:r w:rsidR="00026C70">
        <w:t xml:space="preserve">he complete specification is available for review at </w:t>
      </w:r>
      <w:hyperlink r:id="rId8" w:history="1">
        <w:r w:rsidR="00D815BD" w:rsidRPr="00212456">
          <w:rPr>
            <w:rStyle w:val="Hyperlink"/>
          </w:rPr>
          <w:t>https://t3ssa1121.github.io/climatecontrol/</w:t>
        </w:r>
      </w:hyperlink>
    </w:p>
    <w:p w14:paraId="4A0B28F6" w14:textId="77777777" w:rsidR="002A6860" w:rsidRDefault="00026C70">
      <w:pPr>
        <w:keepNext/>
      </w:pPr>
      <w:r>
        <w:rPr>
          <w:noProof/>
        </w:rPr>
        <w:lastRenderedPageBreak/>
        <w:drawing>
          <wp:inline distT="0" distB="0" distL="0" distR="0" wp14:anchorId="254F9CBC" wp14:editId="7A3C8BFF">
            <wp:extent cx="5943600" cy="4508614"/>
            <wp:effectExtent l="0" t="0" r="0" b="0"/>
            <wp:docPr id="12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F4F64" w14:textId="464FD434" w:rsidR="002A6860" w:rsidRDefault="00026C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Systems Engineering V-Model</w:t>
      </w:r>
    </w:p>
    <w:p w14:paraId="170589FF" w14:textId="77777777" w:rsidR="002A6860" w:rsidRDefault="00026C70">
      <w:pPr>
        <w:pStyle w:val="Heading2"/>
      </w:pPr>
      <w:r>
        <w:t>Threat and Vulnerability Assessment:</w:t>
      </w:r>
    </w:p>
    <w:p w14:paraId="77FFB982" w14:textId="060ED5BB" w:rsidR="008D7642" w:rsidRDefault="00026C70">
      <w:r>
        <w:t xml:space="preserve">Industry guidance </w:t>
      </w:r>
      <w:r w:rsidR="0089536D">
        <w:t>like</w:t>
      </w:r>
      <w:r>
        <w:t xml:space="preserve"> OWASP IOT top 10</w:t>
      </w:r>
      <w:r w:rsidR="00C20A6E">
        <w:t xml:space="preserve"> </w:t>
      </w:r>
      <w:sdt>
        <w:sdtPr>
          <w:id w:val="2120954128"/>
          <w:citation/>
        </w:sdtPr>
        <w:sdtEndPr/>
        <w:sdtContent>
          <w:r w:rsidR="00A9139E">
            <w:fldChar w:fldCharType="begin"/>
          </w:r>
          <w:r w:rsidR="00A9139E">
            <w:instrText xml:space="preserve"> CITATION OWA191 \l 1033 </w:instrText>
          </w:r>
          <w:r w:rsidR="00A9139E">
            <w:fldChar w:fldCharType="separate"/>
          </w:r>
          <w:r w:rsidR="00A9139E" w:rsidRPr="00A9139E">
            <w:rPr>
              <w:noProof/>
            </w:rPr>
            <w:t>(OWASP, 2019)</w:t>
          </w:r>
          <w:r w:rsidR="00A9139E">
            <w:fldChar w:fldCharType="end"/>
          </w:r>
        </w:sdtContent>
      </w:sdt>
      <w:r w:rsidR="00C20A6E">
        <w:t xml:space="preserve"> </w:t>
      </w:r>
      <w:r w:rsidR="0089536D">
        <w:t xml:space="preserve">ensures consideration of certain </w:t>
      </w:r>
      <w:r>
        <w:t xml:space="preserve">vulnerability classes </w:t>
      </w:r>
      <w:r w:rsidR="0089536D">
        <w:t xml:space="preserve">during </w:t>
      </w:r>
      <w:r>
        <w:t xml:space="preserve">assessment (Fig. </w:t>
      </w:r>
      <w:r w:rsidR="000776F6">
        <w:t>6</w:t>
      </w:r>
      <w:r>
        <w:t>)</w:t>
      </w:r>
      <w:r w:rsidR="008D7642">
        <w:t xml:space="preserve"> but </w:t>
      </w:r>
      <w:r w:rsidR="00372156">
        <w:t xml:space="preserve">potential IOT </w:t>
      </w:r>
      <w:r w:rsidR="008D7642">
        <w:t xml:space="preserve">security </w:t>
      </w:r>
      <w:r w:rsidR="00372156">
        <w:t xml:space="preserve">impacts </w:t>
      </w:r>
      <w:r w:rsidR="008D7642">
        <w:t>must be considered within the implemented solution</w:t>
      </w:r>
      <w:r w:rsidR="00C841C5">
        <w:t xml:space="preserve"> context</w:t>
      </w:r>
      <w:r w:rsidR="00BB0F12">
        <w:t xml:space="preserve"> </w:t>
      </w:r>
      <w:sdt>
        <w:sdtPr>
          <w:id w:val="-505738123"/>
          <w:citation/>
        </w:sdtPr>
        <w:sdtEndPr/>
        <w:sdtContent>
          <w:r w:rsidR="00BB0F12">
            <w:fldChar w:fldCharType="begin"/>
          </w:r>
          <w:r w:rsidR="00BB0F12">
            <w:instrText xml:space="preserve"> CITATION Mus18 \l 1033 </w:instrText>
          </w:r>
          <w:r w:rsidR="00BB0F12">
            <w:fldChar w:fldCharType="separate"/>
          </w:r>
          <w:r w:rsidR="00BB0F12" w:rsidRPr="00BB0F12">
            <w:rPr>
              <w:noProof/>
            </w:rPr>
            <w:t>(Musman, 2018)</w:t>
          </w:r>
          <w:r w:rsidR="00BB0F12">
            <w:fldChar w:fldCharType="end"/>
          </w:r>
        </w:sdtContent>
      </w:sdt>
      <w:r w:rsidR="00C54559">
        <w:t xml:space="preserve"> like the following example:</w:t>
      </w:r>
      <w:r>
        <w:t xml:space="preserve"> </w:t>
      </w:r>
    </w:p>
    <w:p w14:paraId="18C9DF5F" w14:textId="77777777" w:rsidR="00C54559" w:rsidRPr="00C54559" w:rsidRDefault="00026C70" w:rsidP="00C54559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t xml:space="preserve">Mirai botnet attacks </w:t>
      </w:r>
      <w:sdt>
        <w:sdtPr>
          <w:id w:val="-196541221"/>
          <w:citation/>
        </w:sdtPr>
        <w:sdtEndPr/>
        <w:sdtContent>
          <w:r w:rsidR="009F35C3">
            <w:fldChar w:fldCharType="begin"/>
          </w:r>
          <w:r w:rsidR="009F35C3">
            <w:instrText xml:space="preserve"> CITATION AJo16 \l 1033 </w:instrText>
          </w:r>
          <w:r w:rsidR="009F35C3">
            <w:fldChar w:fldCharType="separate"/>
          </w:r>
          <w:r w:rsidR="009F35C3" w:rsidRPr="009F35C3">
            <w:rPr>
              <w:noProof/>
            </w:rPr>
            <w:t>(Johnson, 2016)</w:t>
          </w:r>
          <w:r w:rsidR="009F35C3">
            <w:fldChar w:fldCharType="end"/>
          </w:r>
        </w:sdtContent>
      </w:sdt>
      <w:r w:rsidR="00C54559">
        <w:t xml:space="preserve">, often cited but </w:t>
      </w:r>
      <w:r w:rsidR="00BB6CED">
        <w:t>not</w:t>
      </w:r>
      <w:r w:rsidR="009201D9">
        <w:t xml:space="preserve"> </w:t>
      </w:r>
      <w:r w:rsidR="00C54559">
        <w:t xml:space="preserve">relevant, </w:t>
      </w:r>
      <w:r w:rsidR="009201D9">
        <w:t xml:space="preserve">the climate controlling devices </w:t>
      </w:r>
      <w:r w:rsidR="00767FF3">
        <w:t xml:space="preserve">(MA-node) </w:t>
      </w:r>
      <w:r w:rsidR="009201D9">
        <w:t>do not support password authentication and have no internet connectivity</w:t>
      </w:r>
    </w:p>
    <w:p w14:paraId="3C30DD4B" w14:textId="472DC3A7" w:rsidR="00AE3767" w:rsidRPr="00AE3767" w:rsidRDefault="00AE3767" w:rsidP="00C54559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t>W</w:t>
      </w:r>
      <w:r w:rsidR="009201D9">
        <w:t xml:space="preserve">eak </w:t>
      </w:r>
      <w:r>
        <w:t xml:space="preserve">application </w:t>
      </w:r>
      <w:r w:rsidR="00026C70">
        <w:t xml:space="preserve">passwords </w:t>
      </w:r>
      <w:r>
        <w:t>are</w:t>
      </w:r>
      <w:r w:rsidR="009201D9">
        <w:t xml:space="preserve"> expected</w:t>
      </w:r>
      <w:r w:rsidR="00A336F0">
        <w:t xml:space="preserve"> (</w:t>
      </w:r>
      <w:r w:rsidR="00A336F0">
        <w:t>Knieriem</w:t>
      </w:r>
      <w:r w:rsidR="00653DFC">
        <w:t xml:space="preserve"> et al</w:t>
      </w:r>
      <w:r w:rsidR="003E089B">
        <w:t>, 2018)</w:t>
      </w:r>
      <w:r w:rsidR="00830A27">
        <w:t xml:space="preserve"> </w:t>
      </w:r>
      <w:r w:rsidR="00767FF3">
        <w:t>but of limited impact</w:t>
      </w:r>
      <w:r>
        <w:t>,</w:t>
      </w:r>
    </w:p>
    <w:p w14:paraId="74BFFDF1" w14:textId="790927BD" w:rsidR="006F70D8" w:rsidRPr="006F70D8" w:rsidRDefault="00767FF3" w:rsidP="00AE3767">
      <w:pPr>
        <w:pStyle w:val="ListParagraph"/>
        <w:numPr>
          <w:ilvl w:val="1"/>
          <w:numId w:val="3"/>
        </w:numPr>
        <w:rPr>
          <w:rFonts w:ascii="Arial" w:eastAsia="Arial" w:hAnsi="Arial" w:cs="Arial"/>
          <w:i/>
        </w:rPr>
      </w:pPr>
      <w:r>
        <w:t xml:space="preserve"> </w:t>
      </w:r>
      <w:r w:rsidR="00AE3767">
        <w:t xml:space="preserve">No application </w:t>
      </w:r>
      <w:r w:rsidR="006F70D8">
        <w:t xml:space="preserve">stored </w:t>
      </w:r>
      <w:r w:rsidR="00AE3767">
        <w:t xml:space="preserve">information </w:t>
      </w:r>
      <w:r w:rsidR="006F70D8">
        <w:t>i</w:t>
      </w:r>
      <w:r w:rsidR="0088376F">
        <w:t>s</w:t>
      </w:r>
      <w:r>
        <w:t xml:space="preserve"> deemed private </w:t>
      </w:r>
      <w:sdt>
        <w:sdtPr>
          <w:id w:val="-22396843"/>
          <w:citation/>
        </w:sdtPr>
        <w:sdtEndPr/>
        <w:sdtContent>
          <w:r w:rsidR="00EB0C9A">
            <w:fldChar w:fldCharType="begin"/>
          </w:r>
          <w:r w:rsidR="00EB0C9A">
            <w:instrText xml:space="preserve"> CITATION Can19 \l 1033 </w:instrText>
          </w:r>
          <w:r w:rsidR="00EB0C9A">
            <w:fldChar w:fldCharType="separate"/>
          </w:r>
          <w:r w:rsidR="00EB0C9A" w:rsidRPr="00EB0C9A">
            <w:rPr>
              <w:noProof/>
            </w:rPr>
            <w:t>(Canadian Privacy Commissioner, 2019)</w:t>
          </w:r>
          <w:r w:rsidR="00EB0C9A">
            <w:fldChar w:fldCharType="end"/>
          </w:r>
        </w:sdtContent>
      </w:sdt>
      <w:r w:rsidR="0088376F">
        <w:t>.</w:t>
      </w:r>
      <w:r w:rsidR="00026C70">
        <w:t xml:space="preserve"> </w:t>
      </w:r>
    </w:p>
    <w:p w14:paraId="6F467D7C" w14:textId="5F3F07BF" w:rsidR="006F70D8" w:rsidRPr="006F70D8" w:rsidRDefault="006F70D8" w:rsidP="00AE3767">
      <w:pPr>
        <w:pStyle w:val="ListParagraph"/>
        <w:numPr>
          <w:ilvl w:val="1"/>
          <w:numId w:val="3"/>
        </w:numPr>
        <w:rPr>
          <w:rFonts w:ascii="Arial" w:eastAsia="Arial" w:hAnsi="Arial" w:cs="Arial"/>
          <w:i/>
        </w:rPr>
      </w:pPr>
      <w:r>
        <w:t>Minimum-maximum temperature safety limits</w:t>
      </w:r>
      <w:r w:rsidR="00DB2059">
        <w:t>, no shut off capability</w:t>
      </w:r>
      <w:r>
        <w:t xml:space="preserve"> </w:t>
      </w:r>
    </w:p>
    <w:p w14:paraId="0D4638E6" w14:textId="77777777" w:rsidR="006F70D8" w:rsidRPr="006F70D8" w:rsidRDefault="006F70D8" w:rsidP="00753290">
      <w:pPr>
        <w:pStyle w:val="ListParagraph"/>
        <w:numPr>
          <w:ilvl w:val="0"/>
          <w:numId w:val="3"/>
        </w:numPr>
        <w:rPr>
          <w:rFonts w:ascii="Arial" w:eastAsia="Arial" w:hAnsi="Arial" w:cs="Arial"/>
          <w:i/>
        </w:rPr>
      </w:pPr>
      <w:r>
        <w:t>T</w:t>
      </w:r>
      <w:r w:rsidR="00767FF3">
        <w:t>echnical failure</w:t>
      </w:r>
      <w:r>
        <w:t>s</w:t>
      </w:r>
      <w:r w:rsidR="00767FF3">
        <w:t xml:space="preserve"> </w:t>
      </w:r>
      <w:r w:rsidR="00A94523">
        <w:t>detected though fault monitoring</w:t>
      </w:r>
    </w:p>
    <w:p w14:paraId="6A8D8B6E" w14:textId="59FE59B7" w:rsidR="002A6860" w:rsidRPr="00C54559" w:rsidRDefault="00F24F58" w:rsidP="00753290">
      <w:pPr>
        <w:pStyle w:val="ListParagraph"/>
        <w:numPr>
          <w:ilvl w:val="1"/>
          <w:numId w:val="3"/>
        </w:numPr>
        <w:rPr>
          <w:rFonts w:ascii="Arial" w:eastAsia="Arial" w:hAnsi="Arial" w:cs="Arial"/>
          <w:i/>
        </w:rPr>
      </w:pPr>
      <w:r>
        <w:t xml:space="preserve"> </w:t>
      </w:r>
      <w:r w:rsidR="00DB2059">
        <w:t>Like</w:t>
      </w:r>
      <w:r w:rsidR="00753290">
        <w:t xml:space="preserve"> </w:t>
      </w:r>
      <w:r w:rsidR="00767FF3">
        <w:t>non-</w:t>
      </w:r>
      <w:r w:rsidR="00DB2059">
        <w:t>IOT</w:t>
      </w:r>
      <w:r w:rsidR="00026C70">
        <w:t xml:space="preserve"> </w:t>
      </w:r>
      <w:r>
        <w:t>climate control</w:t>
      </w:r>
      <w:r w:rsidR="00026C70">
        <w:t xml:space="preserve"> mechanical </w:t>
      </w:r>
      <w:r w:rsidR="00C4023E">
        <w:t>failure,</w:t>
      </w:r>
      <w:r w:rsidR="00044E47">
        <w:t xml:space="preserve"> once detected, i</w:t>
      </w:r>
      <w:r w:rsidR="00767FF3">
        <w:t xml:space="preserve">ndividuals </w:t>
      </w:r>
      <w:r>
        <w:t xml:space="preserve">will </w:t>
      </w:r>
      <w:r w:rsidR="00026C70" w:rsidRPr="00A94523">
        <w:t>seek repair before property damage occurs</w:t>
      </w:r>
    </w:p>
    <w:p w14:paraId="532AF3AB" w14:textId="77777777" w:rsidR="002A6860" w:rsidRDefault="002A6860"/>
    <w:p w14:paraId="31D2D8DD" w14:textId="77777777" w:rsidR="002A6860" w:rsidRDefault="002A6860"/>
    <w:p w14:paraId="00D665CA" w14:textId="77777777" w:rsidR="002A6860" w:rsidRDefault="00026C70">
      <w:pPr>
        <w:pStyle w:val="Heading2"/>
      </w:pPr>
      <w:r>
        <w:lastRenderedPageBreak/>
        <w:t>Attack Surface Analysis:</w:t>
      </w:r>
    </w:p>
    <w:p w14:paraId="3C0B9F25" w14:textId="19F1F485" w:rsidR="002A6860" w:rsidRDefault="00270851">
      <w:r>
        <w:t>The MA-</w:t>
      </w:r>
      <w:r w:rsidR="00CB31ED">
        <w:t>n</w:t>
      </w:r>
      <w:r>
        <w:t xml:space="preserve">ode device locations are </w:t>
      </w:r>
      <w:r w:rsidR="00E07787">
        <w:t xml:space="preserve">typically </w:t>
      </w:r>
      <w:r>
        <w:t xml:space="preserve">not under direct control of the system owner, therefore the </w:t>
      </w:r>
      <w:r w:rsidR="00026C70">
        <w:t>attack</w:t>
      </w:r>
      <w:r w:rsidR="009750FD">
        <w:t>-</w:t>
      </w:r>
      <w:r w:rsidR="00026C70">
        <w:t>defense tree</w:t>
      </w:r>
      <w:r w:rsidR="00F80152">
        <w:t xml:space="preserve"> </w:t>
      </w:r>
      <w:r>
        <w:t>(Kordy et al, 201</w:t>
      </w:r>
      <w:r w:rsidR="00461A98">
        <w:t>4</w:t>
      </w:r>
      <w:r>
        <w:t>)</w:t>
      </w:r>
      <w:r w:rsidR="0084257C">
        <w:t xml:space="preserve"> (Fig. 3)</w:t>
      </w:r>
      <w:r w:rsidR="00026C70">
        <w:t xml:space="preserve"> considers physical </w:t>
      </w:r>
      <w:r w:rsidR="00E07787">
        <w:t xml:space="preserve">and </w:t>
      </w:r>
      <w:r w:rsidR="00026C70">
        <w:t>logical network</w:t>
      </w:r>
      <w:r w:rsidR="00793A73">
        <w:t xml:space="preserve">-based MQTT </w:t>
      </w:r>
      <w:r w:rsidR="00E07787">
        <w:t>attacks</w:t>
      </w:r>
      <w:r w:rsidR="00793A73">
        <w:t xml:space="preserve"> from a malicious internal user</w:t>
      </w:r>
      <w:sdt>
        <w:sdtPr>
          <w:id w:val="-2066323460"/>
          <w:citation/>
        </w:sdtPr>
        <w:sdtEndPr/>
        <w:sdtContent>
          <w:r w:rsidR="00793A73">
            <w:fldChar w:fldCharType="begin"/>
          </w:r>
          <w:r w:rsidR="00793A73">
            <w:instrText xml:space="preserve"> CITATION Fir17 \l 1033 </w:instrText>
          </w:r>
          <w:r w:rsidR="00793A73">
            <w:fldChar w:fldCharType="separate"/>
          </w:r>
          <w:r w:rsidR="00793A73">
            <w:rPr>
              <w:noProof/>
            </w:rPr>
            <w:t xml:space="preserve"> </w:t>
          </w:r>
          <w:r w:rsidR="00793A73" w:rsidRPr="00793A73">
            <w:rPr>
              <w:noProof/>
            </w:rPr>
            <w:t>(Firdous, et al., 2017)</w:t>
          </w:r>
          <w:r w:rsidR="00793A73">
            <w:fldChar w:fldCharType="end"/>
          </w:r>
        </w:sdtContent>
      </w:sdt>
      <w:r w:rsidR="0084257C">
        <w:t xml:space="preserve"> (Fig.4)</w:t>
      </w:r>
      <w:r w:rsidR="00E07787">
        <w:t xml:space="preserve">. </w:t>
      </w:r>
      <w:r w:rsidR="00C4023E">
        <w:t xml:space="preserve">The MQTT broker’s </w:t>
      </w:r>
      <w:r w:rsidR="000E30D6">
        <w:t>underlying operating</w:t>
      </w:r>
      <w:r w:rsidR="00C4023E">
        <w:t xml:space="preserve"> system (OS) is </w:t>
      </w:r>
      <w:r w:rsidR="00BD4352">
        <w:t xml:space="preserve">also </w:t>
      </w:r>
      <w:r w:rsidR="00026C70">
        <w:t xml:space="preserve">a potential vector for </w:t>
      </w:r>
      <w:r w:rsidR="006C610A">
        <w:t>routing</w:t>
      </w:r>
      <w:r w:rsidR="00026C70">
        <w:t xml:space="preserve"> malicious </w:t>
      </w:r>
      <w:r w:rsidR="006C610A">
        <w:t>traffic</w:t>
      </w:r>
      <w:r w:rsidR="00026C70">
        <w:t xml:space="preserve"> </w:t>
      </w:r>
      <w:r w:rsidR="00D46F07">
        <w:t xml:space="preserve">to </w:t>
      </w:r>
      <w:r w:rsidR="00026C70">
        <w:t>other units</w:t>
      </w:r>
      <w:sdt>
        <w:sdtPr>
          <w:id w:val="-496958803"/>
          <w:citation/>
        </w:sdtPr>
        <w:sdtEndPr/>
        <w:sdtContent>
          <w:r w:rsidR="00597CF5">
            <w:fldChar w:fldCharType="begin"/>
          </w:r>
          <w:r w:rsidR="00597CF5">
            <w:instrText xml:space="preserve"> CITATION Off21 \l 1033 </w:instrText>
          </w:r>
          <w:r w:rsidR="00597CF5">
            <w:fldChar w:fldCharType="separate"/>
          </w:r>
          <w:r w:rsidR="00597CF5">
            <w:rPr>
              <w:noProof/>
            </w:rPr>
            <w:t xml:space="preserve"> </w:t>
          </w:r>
          <w:r w:rsidR="00597CF5" w:rsidRPr="00597CF5">
            <w:rPr>
              <w:noProof/>
            </w:rPr>
            <w:t>(Offensive Security, n.d.)</w:t>
          </w:r>
          <w:r w:rsidR="00597CF5">
            <w:fldChar w:fldCharType="end"/>
          </w:r>
        </w:sdtContent>
      </w:sdt>
      <w:r w:rsidR="00026C70">
        <w:t xml:space="preserve"> or </w:t>
      </w:r>
      <w:r w:rsidR="00FF7D25">
        <w:t xml:space="preserve">means to </w:t>
      </w:r>
      <w:r w:rsidR="00026C70">
        <w:t>preventing temperature change message delivery</w:t>
      </w:r>
      <w:r w:rsidR="00AE2845">
        <w:t xml:space="preserve"> by disrupting the MQTT service </w:t>
      </w:r>
      <w:sdt>
        <w:sdtPr>
          <w:id w:val="1618017744"/>
          <w:citation/>
        </w:sdtPr>
        <w:sdtEndPr/>
        <w:sdtContent>
          <w:r w:rsidR="00AE2845">
            <w:fldChar w:fldCharType="begin"/>
          </w:r>
          <w:r w:rsidR="00AE2845">
            <w:instrText xml:space="preserve"> CITATION Nat211 \l 1033 </w:instrText>
          </w:r>
          <w:r w:rsidR="00AE2845">
            <w:fldChar w:fldCharType="separate"/>
          </w:r>
          <w:r w:rsidR="00AE2845" w:rsidRPr="00AE2845">
            <w:rPr>
              <w:noProof/>
            </w:rPr>
            <w:t>(National Vulnerability Database, n.d.)</w:t>
          </w:r>
          <w:r w:rsidR="00AE2845">
            <w:fldChar w:fldCharType="end"/>
          </w:r>
        </w:sdtContent>
      </w:sdt>
      <w:r w:rsidR="00026C70">
        <w:t xml:space="preserve">. </w:t>
      </w:r>
    </w:p>
    <w:p w14:paraId="24E52117" w14:textId="77777777" w:rsidR="002A6860" w:rsidRDefault="002A6860"/>
    <w:p w14:paraId="05333BB6" w14:textId="67B7E4F8" w:rsidR="002A6860" w:rsidRDefault="000F4993">
      <w:pPr>
        <w:keepNext/>
        <w:jc w:val="center"/>
      </w:pPr>
      <w:r>
        <w:rPr>
          <w:noProof/>
        </w:rPr>
        <w:drawing>
          <wp:inline distT="0" distB="0" distL="0" distR="0" wp14:anchorId="47C40A12" wp14:editId="7AA0039F">
            <wp:extent cx="5937250" cy="38227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6C1E" w14:textId="7F8CBBAF" w:rsidR="002A6860" w:rsidRDefault="00026C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3 </w:t>
      </w:r>
      <w:r w:rsidR="00830D4B">
        <w:rPr>
          <w:i/>
          <w:color w:val="44546A"/>
          <w:sz w:val="18"/>
          <w:szCs w:val="18"/>
        </w:rPr>
        <w:t>MA-node</w:t>
      </w:r>
      <w:r>
        <w:rPr>
          <w:i/>
          <w:color w:val="44546A"/>
          <w:sz w:val="18"/>
          <w:szCs w:val="18"/>
        </w:rPr>
        <w:t xml:space="preserve"> Attack-Defense tree</w:t>
      </w:r>
    </w:p>
    <w:p w14:paraId="6BAE964B" w14:textId="23FEC430" w:rsidR="0084257C" w:rsidRDefault="0084257C" w:rsidP="008D5194"/>
    <w:p w14:paraId="7FB925F2" w14:textId="7CF1C42C" w:rsidR="0084257C" w:rsidRDefault="0084257C" w:rsidP="008D5194"/>
    <w:p w14:paraId="133347AD" w14:textId="77777777" w:rsidR="00493704" w:rsidRDefault="0084257C" w:rsidP="00493704">
      <w:pPr>
        <w:keepNext/>
      </w:pPr>
      <w:r>
        <w:rPr>
          <w:noProof/>
        </w:rPr>
        <w:lastRenderedPageBreak/>
        <w:drawing>
          <wp:inline distT="0" distB="0" distL="0" distR="0" wp14:anchorId="73208C8B" wp14:editId="5AE3BEBD">
            <wp:extent cx="5943600" cy="39477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793" w14:textId="52905F91" w:rsidR="0084257C" w:rsidRDefault="00493704" w:rsidP="00493704">
      <w:pPr>
        <w:pStyle w:val="Caption"/>
        <w:jc w:val="center"/>
      </w:pPr>
      <w:r>
        <w:t>Figure 4 Insider MQTT attacks</w:t>
      </w:r>
      <w:r w:rsidR="006A4A1F">
        <w:t xml:space="preserve"> </w:t>
      </w:r>
      <w:sdt>
        <w:sdtPr>
          <w:id w:val="-1857651248"/>
          <w:citation/>
        </w:sdtPr>
        <w:sdtEndPr/>
        <w:sdtContent>
          <w:r w:rsidR="006A4A1F">
            <w:fldChar w:fldCharType="begin"/>
          </w:r>
          <w:r w:rsidR="006A4A1F">
            <w:instrText xml:space="preserve"> CITATION Fir17 \l 1033 </w:instrText>
          </w:r>
          <w:r w:rsidR="006A4A1F">
            <w:fldChar w:fldCharType="separate"/>
          </w:r>
          <w:r w:rsidR="006A4A1F" w:rsidRPr="006A4A1F">
            <w:rPr>
              <w:noProof/>
            </w:rPr>
            <w:t>(Firdous, et al., 2017)</w:t>
          </w:r>
          <w:r w:rsidR="006A4A1F">
            <w:fldChar w:fldCharType="end"/>
          </w:r>
        </w:sdtContent>
      </w:sdt>
    </w:p>
    <w:p w14:paraId="6DA97434" w14:textId="77777777" w:rsidR="00BD018A" w:rsidRDefault="00BD018A" w:rsidP="008D5194"/>
    <w:p w14:paraId="46343720" w14:textId="77777777" w:rsidR="00BD018A" w:rsidRDefault="00BD018A" w:rsidP="008D5194"/>
    <w:p w14:paraId="54EE7AD0" w14:textId="755CDA04" w:rsidR="002A6860" w:rsidRDefault="00026C70" w:rsidP="008D5194">
      <w:r>
        <w:t xml:space="preserve">Quantitative risk analysis methods </w:t>
      </w:r>
      <w:r w:rsidR="00B2437B">
        <w:t xml:space="preserve">can </w:t>
      </w:r>
      <w:r>
        <w:t>incorporate attack success likelihood into risk scoring</w:t>
      </w:r>
      <w:r w:rsidR="00100F88">
        <w:t xml:space="preserve"> </w:t>
      </w:r>
      <w:sdt>
        <w:sdtPr>
          <w:id w:val="1372106748"/>
          <w:citation/>
        </w:sdtPr>
        <w:sdtEndPr/>
        <w:sdtContent>
          <w:r w:rsidR="00F36C47">
            <w:fldChar w:fldCharType="begin"/>
          </w:r>
          <w:r w:rsidR="00F36C47">
            <w:instrText xml:space="preserve"> CITATION Mus18 \l 1033 </w:instrText>
          </w:r>
          <w:r w:rsidR="00F36C47">
            <w:fldChar w:fldCharType="separate"/>
          </w:r>
          <w:r w:rsidR="00F36C47" w:rsidRPr="00F36C47">
            <w:rPr>
              <w:noProof/>
            </w:rPr>
            <w:t>(Musman, 2018)</w:t>
          </w:r>
          <w:r w:rsidR="00F36C47">
            <w:fldChar w:fldCharType="end"/>
          </w:r>
        </w:sdtContent>
      </w:sdt>
      <w:r>
        <w:t xml:space="preserve">. </w:t>
      </w:r>
      <w:r w:rsidR="004B2A31">
        <w:t xml:space="preserve">Publicly available cyber-crime statistics </w:t>
      </w:r>
      <w:sdt>
        <w:sdtPr>
          <w:id w:val="-1274930711"/>
          <w:citation/>
        </w:sdtPr>
        <w:sdtEndPr/>
        <w:sdtContent>
          <w:r w:rsidR="006A450F">
            <w:fldChar w:fldCharType="begin"/>
          </w:r>
          <w:r w:rsidR="006A450F">
            <w:instrText xml:space="preserve"> CITATION Ver21 \l 1033 </w:instrText>
          </w:r>
          <w:r w:rsidR="006A450F">
            <w:fldChar w:fldCharType="separate"/>
          </w:r>
          <w:r w:rsidR="006A450F" w:rsidRPr="006A450F">
            <w:rPr>
              <w:noProof/>
            </w:rPr>
            <w:t>(Verizon, 2021)</w:t>
          </w:r>
          <w:r w:rsidR="006A450F">
            <w:fldChar w:fldCharType="end"/>
          </w:r>
        </w:sdtContent>
      </w:sdt>
      <w:r w:rsidR="006A450F">
        <w:t xml:space="preserve"> </w:t>
      </w:r>
      <w:r w:rsidR="00B2437B">
        <w:t xml:space="preserve">can </w:t>
      </w:r>
      <w:r w:rsidR="00CB31ED">
        <w:t xml:space="preserve">inform </w:t>
      </w:r>
      <w:r w:rsidR="00B2437B">
        <w:t xml:space="preserve">attack-defense tree node values when using </w:t>
      </w:r>
      <w:r w:rsidR="006A450F">
        <w:t xml:space="preserve">the probability domain </w:t>
      </w:r>
      <w:sdt>
        <w:sdtPr>
          <w:id w:val="1687249053"/>
          <w:citation/>
        </w:sdtPr>
        <w:sdtEndPr/>
        <w:sdtContent>
          <w:r w:rsidR="00D852CD">
            <w:fldChar w:fldCharType="begin"/>
          </w:r>
          <w:r w:rsidR="00D852CD">
            <w:instrText xml:space="preserve"> CITATION Bag12 \l 1033 </w:instrText>
          </w:r>
          <w:r w:rsidR="00D852CD">
            <w:fldChar w:fldCharType="separate"/>
          </w:r>
          <w:r w:rsidR="00D852CD" w:rsidRPr="00D852CD">
            <w:rPr>
              <w:noProof/>
            </w:rPr>
            <w:t>(Bagnato, et al., 2012)</w:t>
          </w:r>
          <w:r w:rsidR="00D852CD">
            <w:fldChar w:fldCharType="end"/>
          </w:r>
        </w:sdtContent>
      </w:sdt>
      <w:r w:rsidR="007A66F8">
        <w:t xml:space="preserve">. </w:t>
      </w:r>
      <w:r w:rsidR="000E30D6">
        <w:t xml:space="preserve">Probabilities presented in </w:t>
      </w:r>
      <w:r w:rsidR="001D40E4">
        <w:t xml:space="preserve">tree format </w:t>
      </w:r>
      <w:r w:rsidR="008D5194">
        <w:t>illustrate</w:t>
      </w:r>
      <w:r w:rsidR="000E30D6">
        <w:t xml:space="preserve"> </w:t>
      </w:r>
      <w:r w:rsidR="008D5194">
        <w:t xml:space="preserve">how </w:t>
      </w:r>
      <w:r w:rsidR="000E30D6">
        <w:t xml:space="preserve">implementing </w:t>
      </w:r>
      <w:r w:rsidR="008D5194">
        <w:t>recommended control</w:t>
      </w:r>
      <w:r w:rsidR="000E30D6">
        <w:t>s</w:t>
      </w:r>
      <w:r w:rsidR="008D5194">
        <w:t xml:space="preserve"> reduces the likelihood of cyber-attacks causing property damage to three </w:t>
      </w:r>
      <w:r w:rsidR="00592B5B">
        <w:t xml:space="preserve">(Fig. </w:t>
      </w:r>
      <w:r w:rsidR="009477D3">
        <w:t>5</w:t>
      </w:r>
      <w:r w:rsidR="00592B5B">
        <w:t xml:space="preserve">) </w:t>
      </w:r>
      <w:r w:rsidR="008D5194">
        <w:t>or four percent</w:t>
      </w:r>
      <w:r w:rsidR="00592B5B">
        <w:t xml:space="preserve"> (Fig. 7)</w:t>
      </w:r>
      <w:r w:rsidR="008D5194">
        <w:t xml:space="preserve">. </w:t>
      </w:r>
    </w:p>
    <w:p w14:paraId="5BEA5514" w14:textId="2765AABF" w:rsidR="002A6860" w:rsidRDefault="000F49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EA905B" wp14:editId="48649097">
            <wp:extent cx="5924670" cy="3975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64" cy="40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A357" w14:textId="78F3EDA8" w:rsidR="000F4993" w:rsidRDefault="00026C70" w:rsidP="000F49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>
        <w:rPr>
          <w:i/>
          <w:color w:val="44546A"/>
          <w:sz w:val="18"/>
          <w:szCs w:val="18"/>
        </w:rPr>
        <w:t xml:space="preserve">Figure </w:t>
      </w:r>
      <w:r w:rsidR="00BA1179">
        <w:rPr>
          <w:i/>
          <w:color w:val="44546A"/>
          <w:sz w:val="18"/>
          <w:szCs w:val="18"/>
        </w:rPr>
        <w:t>5</w:t>
      </w:r>
      <w:r>
        <w:rPr>
          <w:i/>
          <w:color w:val="44546A"/>
          <w:sz w:val="18"/>
          <w:szCs w:val="18"/>
        </w:rPr>
        <w:t xml:space="preserve"> </w:t>
      </w:r>
      <w:r w:rsidR="000F4993">
        <w:rPr>
          <w:i/>
          <w:color w:val="44546A"/>
          <w:sz w:val="18"/>
          <w:szCs w:val="18"/>
        </w:rPr>
        <w:t>Attack</w:t>
      </w:r>
      <w:r w:rsidR="006A4A1F">
        <w:rPr>
          <w:i/>
          <w:color w:val="44546A"/>
          <w:sz w:val="18"/>
          <w:szCs w:val="18"/>
        </w:rPr>
        <w:t>-</w:t>
      </w:r>
      <w:r w:rsidR="000F4993">
        <w:rPr>
          <w:i/>
          <w:color w:val="44546A"/>
          <w:sz w:val="18"/>
          <w:szCs w:val="18"/>
        </w:rPr>
        <w:t xml:space="preserve">Defense Tree </w:t>
      </w:r>
      <w:r w:rsidR="006A4A1F">
        <w:rPr>
          <w:i/>
          <w:color w:val="44546A"/>
          <w:sz w:val="18"/>
          <w:szCs w:val="18"/>
        </w:rPr>
        <w:t>MA-n</w:t>
      </w:r>
      <w:r w:rsidR="000F4993">
        <w:rPr>
          <w:i/>
          <w:color w:val="44546A"/>
          <w:sz w:val="18"/>
          <w:szCs w:val="18"/>
        </w:rPr>
        <w:t>ode</w:t>
      </w:r>
      <w:r w:rsidR="006A4A1F">
        <w:rPr>
          <w:i/>
          <w:color w:val="44546A"/>
          <w:sz w:val="18"/>
          <w:szCs w:val="18"/>
        </w:rPr>
        <w:t>,</w:t>
      </w:r>
      <w:r w:rsidR="000F4993">
        <w:rPr>
          <w:i/>
          <w:color w:val="44546A"/>
          <w:sz w:val="18"/>
          <w:szCs w:val="18"/>
        </w:rPr>
        <w:t xml:space="preserve"> probability domain values</w:t>
      </w:r>
    </w:p>
    <w:p w14:paraId="66DAEDAB" w14:textId="77777777" w:rsidR="003400B0" w:rsidRDefault="003400B0" w:rsidP="005A16C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14:paraId="416FA074" w14:textId="15292772" w:rsidR="004D5D34" w:rsidRDefault="00026C70" w:rsidP="005A16C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>Most OWASP</w:t>
      </w:r>
      <w:r w:rsidR="000A3DB3">
        <w:t xml:space="preserve"> identified vulnerability classes </w:t>
      </w:r>
      <w:r>
        <w:t>(Fig. 5)</w:t>
      </w:r>
      <w:r w:rsidR="00896975">
        <w:t xml:space="preserve">, (Fig. </w:t>
      </w:r>
      <w:r w:rsidR="00112B0A">
        <w:t>7</w:t>
      </w:r>
      <w:r w:rsidR="00896975">
        <w:t>)</w:t>
      </w:r>
      <w:r>
        <w:t xml:space="preserve"> are </w:t>
      </w:r>
      <w:r w:rsidR="000A3DB3">
        <w:t xml:space="preserve">addressed through proper system and application hardening. </w:t>
      </w:r>
    </w:p>
    <w:p w14:paraId="2DB0B254" w14:textId="6249B9F4" w:rsidR="002A6860" w:rsidRDefault="00026C70" w:rsidP="005A16C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noProof/>
        </w:rPr>
        <w:drawing>
          <wp:inline distT="0" distB="0" distL="0" distR="0" wp14:anchorId="0F6B25FF" wp14:editId="1C9D6083">
            <wp:extent cx="4822762" cy="2813794"/>
            <wp:effectExtent l="0" t="0" r="0" b="0"/>
            <wp:docPr id="13" name="image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762" cy="281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60659" w14:textId="40F130F4" w:rsidR="002A6860" w:rsidRDefault="00026C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 w:rsidR="00BA1179">
        <w:rPr>
          <w:i/>
          <w:color w:val="44546A"/>
          <w:sz w:val="18"/>
          <w:szCs w:val="18"/>
        </w:rPr>
        <w:t>6</w:t>
      </w:r>
      <w:r>
        <w:rPr>
          <w:i/>
          <w:color w:val="44546A"/>
          <w:sz w:val="18"/>
          <w:szCs w:val="18"/>
        </w:rPr>
        <w:t xml:space="preserve"> OWASP</w:t>
      </w:r>
      <w:r w:rsidR="00061683">
        <w:rPr>
          <w:i/>
          <w:color w:val="44546A"/>
          <w:sz w:val="18"/>
          <w:szCs w:val="18"/>
        </w:rPr>
        <w:t>/Kaspersky</w:t>
      </w:r>
      <w:r>
        <w:rPr>
          <w:i/>
          <w:color w:val="44546A"/>
          <w:sz w:val="18"/>
          <w:szCs w:val="18"/>
        </w:rPr>
        <w:t xml:space="preserve"> IOT top 10 mapping</w:t>
      </w:r>
      <w:r w:rsidR="006A4A1F">
        <w:rPr>
          <w:i/>
          <w:color w:val="44546A"/>
          <w:sz w:val="18"/>
          <w:szCs w:val="18"/>
        </w:rPr>
        <w:t>,</w:t>
      </w:r>
      <w:r w:rsidR="00C60E3D">
        <w:rPr>
          <w:i/>
          <w:color w:val="44546A"/>
          <w:sz w:val="18"/>
          <w:szCs w:val="18"/>
        </w:rPr>
        <w:t xml:space="preserve"> MA-</w:t>
      </w:r>
      <w:r w:rsidR="006A4A1F">
        <w:rPr>
          <w:i/>
          <w:color w:val="44546A"/>
          <w:sz w:val="18"/>
          <w:szCs w:val="18"/>
        </w:rPr>
        <w:t>n</w:t>
      </w:r>
      <w:r w:rsidR="00C60E3D">
        <w:rPr>
          <w:i/>
          <w:color w:val="44546A"/>
          <w:sz w:val="18"/>
          <w:szCs w:val="18"/>
        </w:rPr>
        <w:t>ode</w:t>
      </w:r>
      <w:r w:rsidR="006A4A1F">
        <w:rPr>
          <w:i/>
          <w:color w:val="44546A"/>
          <w:sz w:val="18"/>
          <w:szCs w:val="18"/>
        </w:rPr>
        <w:t xml:space="preserve"> </w:t>
      </w:r>
    </w:p>
    <w:p w14:paraId="76E7AACA" w14:textId="77777777" w:rsidR="00BD018A" w:rsidRDefault="00BD018A" w:rsidP="00BD018A">
      <w:r>
        <w:lastRenderedPageBreak/>
        <w:t>Widespread system impact only occurs if MQTT nodes or broker process malicious messages, the following measures will protect service integrity</w:t>
      </w:r>
      <w:sdt>
        <w:sdtPr>
          <w:id w:val="1745910133"/>
          <w:citation/>
        </w:sdtPr>
        <w:sdtEndPr/>
        <w:sdtContent>
          <w:r>
            <w:fldChar w:fldCharType="begin"/>
          </w:r>
          <w:r>
            <w:instrText xml:space="preserve"> CITATION Fir17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92DA9">
            <w:rPr>
              <w:noProof/>
            </w:rPr>
            <w:t>(Firdous, et al., 2017)</w:t>
          </w:r>
          <w:r>
            <w:fldChar w:fldCharType="end"/>
          </w:r>
        </w:sdtContent>
      </w:sdt>
      <w:r>
        <w:t>:</w:t>
      </w:r>
    </w:p>
    <w:p w14:paraId="3090094F" w14:textId="77777777" w:rsidR="00BD018A" w:rsidRPr="00C92DA9" w:rsidRDefault="00BD018A" w:rsidP="00BD01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Disable anonymous subscribing and publishing </w:t>
      </w:r>
    </w:p>
    <w:p w14:paraId="20C1F457" w14:textId="77777777" w:rsidR="00BD018A" w:rsidRDefault="00BD018A" w:rsidP="00BD01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Encrypt device to controller traffic using TLS</w:t>
      </w:r>
    </w:p>
    <w:p w14:paraId="4BC782E0" w14:textId="77777777" w:rsidR="00BD018A" w:rsidRDefault="00BD018A" w:rsidP="00BD01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Encrypt message payloads for non-repudiation</w:t>
      </w:r>
    </w:p>
    <w:p w14:paraId="3FF499FA" w14:textId="6C24B99E" w:rsidR="00BD018A" w:rsidRDefault="0049602B" w:rsidP="00BD01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Limit </w:t>
      </w:r>
      <w:r w:rsidR="00BD018A">
        <w:rPr>
          <w:color w:val="000000"/>
        </w:rPr>
        <w:t>MQTT broker service exposure to private network only</w:t>
      </w:r>
    </w:p>
    <w:p w14:paraId="03A10252" w14:textId="77777777" w:rsidR="00F822C5" w:rsidRDefault="00F822C5"/>
    <w:p w14:paraId="1CCBB770" w14:textId="45D7DD75" w:rsidR="002A6860" w:rsidRDefault="00BA1179">
      <w:r>
        <w:t>Internet-based attacks against the controller application have a 16% likelihood of success (Fig. 6), c</w:t>
      </w:r>
      <w:r w:rsidR="004D46FF">
        <w:t>onsequently</w:t>
      </w:r>
      <w:r w:rsidR="00FD3DB3">
        <w:t>,</w:t>
      </w:r>
      <w:r w:rsidR="004D46FF">
        <w:t xml:space="preserve"> </w:t>
      </w:r>
      <w:r>
        <w:t xml:space="preserve">secure </w:t>
      </w:r>
      <w:r w:rsidR="00026C70">
        <w:t>development practices</w:t>
      </w:r>
      <w:r w:rsidR="004D46FF">
        <w:t xml:space="preserve"> and security </w:t>
      </w:r>
      <w:r w:rsidR="005928E3">
        <w:t xml:space="preserve">validation </w:t>
      </w:r>
      <w:r w:rsidR="004D46FF">
        <w:t xml:space="preserve">testing </w:t>
      </w:r>
      <w:sdt>
        <w:sdtPr>
          <w:id w:val="272761169"/>
          <w:citation/>
        </w:sdtPr>
        <w:sdtEndPr/>
        <w:sdtContent>
          <w:r w:rsidR="004D46FF">
            <w:fldChar w:fldCharType="begin"/>
          </w:r>
          <w:r w:rsidR="004D46FF">
            <w:instrText xml:space="preserve"> CITATION OWA217 \l 1033 </w:instrText>
          </w:r>
          <w:r w:rsidR="004D46FF">
            <w:fldChar w:fldCharType="separate"/>
          </w:r>
          <w:r w:rsidR="004D46FF" w:rsidRPr="004D46FF">
            <w:rPr>
              <w:noProof/>
            </w:rPr>
            <w:t>(OWASP, 2021)</w:t>
          </w:r>
          <w:r w:rsidR="004D46FF">
            <w:fldChar w:fldCharType="end"/>
          </w:r>
        </w:sdtContent>
      </w:sdt>
      <w:r w:rsidR="005928E3">
        <w:t xml:space="preserve"> </w:t>
      </w:r>
      <w:r w:rsidR="004D46FF">
        <w:t xml:space="preserve">before deployment </w:t>
      </w:r>
      <w:r>
        <w:t>are</w:t>
      </w:r>
      <w:r w:rsidR="004D46FF">
        <w:t xml:space="preserve"> </w:t>
      </w:r>
      <w:r w:rsidR="009477D3">
        <w:t>required.</w:t>
      </w:r>
    </w:p>
    <w:p w14:paraId="010C84AC" w14:textId="77777777" w:rsidR="00397D0B" w:rsidRDefault="00397D0B" w:rsidP="00397D0B">
      <w:pPr>
        <w:keepNext/>
        <w:jc w:val="center"/>
      </w:pPr>
      <w:r>
        <w:rPr>
          <w:noProof/>
        </w:rPr>
        <w:drawing>
          <wp:inline distT="0" distB="0" distL="0" distR="0" wp14:anchorId="3A07A36F" wp14:editId="5215AF91">
            <wp:extent cx="5943600" cy="34004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6B6A" w14:textId="7FEFE245" w:rsidR="00397D0B" w:rsidRDefault="00397D0B" w:rsidP="00397D0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 w:rsidR="00BA1179">
        <w:rPr>
          <w:i/>
          <w:color w:val="44546A"/>
          <w:sz w:val="18"/>
          <w:szCs w:val="18"/>
        </w:rPr>
        <w:t>7</w:t>
      </w:r>
      <w:r>
        <w:rPr>
          <w:i/>
          <w:color w:val="44546A"/>
          <w:sz w:val="18"/>
          <w:szCs w:val="18"/>
        </w:rPr>
        <w:t xml:space="preserve"> Attack</w:t>
      </w:r>
      <w:r w:rsidR="006A4A1F">
        <w:rPr>
          <w:i/>
          <w:color w:val="44546A"/>
          <w:sz w:val="18"/>
          <w:szCs w:val="18"/>
        </w:rPr>
        <w:t>-</w:t>
      </w:r>
      <w:r>
        <w:rPr>
          <w:i/>
          <w:color w:val="44546A"/>
          <w:sz w:val="18"/>
          <w:szCs w:val="18"/>
        </w:rPr>
        <w:t xml:space="preserve">Defense Tree </w:t>
      </w:r>
      <w:r w:rsidR="003909AE">
        <w:rPr>
          <w:i/>
          <w:color w:val="44546A"/>
          <w:sz w:val="18"/>
          <w:szCs w:val="18"/>
        </w:rPr>
        <w:t>controller</w:t>
      </w:r>
      <w:r w:rsidR="008155E6">
        <w:rPr>
          <w:i/>
          <w:color w:val="44546A"/>
          <w:sz w:val="18"/>
          <w:szCs w:val="18"/>
        </w:rPr>
        <w:t xml:space="preserve"> application</w:t>
      </w:r>
      <w:r w:rsidR="003909AE">
        <w:rPr>
          <w:i/>
          <w:color w:val="44546A"/>
          <w:sz w:val="18"/>
          <w:szCs w:val="18"/>
        </w:rPr>
        <w:t>, probability</w:t>
      </w:r>
      <w:r>
        <w:rPr>
          <w:i/>
          <w:color w:val="44546A"/>
          <w:sz w:val="18"/>
          <w:szCs w:val="18"/>
        </w:rPr>
        <w:t xml:space="preserve"> domain values</w:t>
      </w:r>
      <w:r w:rsidR="004F0A8C">
        <w:rPr>
          <w:i/>
          <w:color w:val="44546A"/>
          <w:sz w:val="18"/>
          <w:szCs w:val="18"/>
        </w:rPr>
        <w:t xml:space="preserve"> </w:t>
      </w:r>
    </w:p>
    <w:p w14:paraId="01C516E8" w14:textId="77777777" w:rsidR="00397D0B" w:rsidRDefault="00397D0B"/>
    <w:p w14:paraId="092F8C53" w14:textId="77777777" w:rsidR="002A6860" w:rsidRDefault="002A6860"/>
    <w:p w14:paraId="0026F046" w14:textId="77777777" w:rsidR="002A6860" w:rsidRDefault="002A6860"/>
    <w:p w14:paraId="683CD690" w14:textId="77777777" w:rsidR="002A6860" w:rsidRDefault="002A6860"/>
    <w:p w14:paraId="7DFF7441" w14:textId="77777777" w:rsidR="00115CD7" w:rsidRDefault="00026C70" w:rsidP="00115CD7">
      <w:pPr>
        <w:keepNext/>
      </w:pPr>
      <w:r>
        <w:rPr>
          <w:noProof/>
        </w:rPr>
        <w:lastRenderedPageBreak/>
        <w:drawing>
          <wp:inline distT="0" distB="0" distL="0" distR="0" wp14:anchorId="116B6C1F" wp14:editId="611F8932">
            <wp:extent cx="5794076" cy="3806784"/>
            <wp:effectExtent l="0" t="0" r="0" b="0"/>
            <wp:docPr id="10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076" cy="3806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038AB" w14:textId="30C864E8" w:rsidR="002A6860" w:rsidRDefault="00115CD7" w:rsidP="00115CD7">
      <w:pPr>
        <w:pStyle w:val="Caption"/>
        <w:jc w:val="center"/>
      </w:pPr>
      <w:r w:rsidRPr="00762A8C">
        <w:t xml:space="preserve">Figure </w:t>
      </w:r>
      <w:r w:rsidR="00BA1179">
        <w:t>8</w:t>
      </w:r>
      <w:r w:rsidRPr="00762A8C">
        <w:t xml:space="preserve"> OWASP</w:t>
      </w:r>
      <w:r w:rsidR="00D1208D">
        <w:t>/Kaspersky</w:t>
      </w:r>
      <w:r w:rsidRPr="00762A8C">
        <w:t xml:space="preserve"> IOT top 10 mapping</w:t>
      </w:r>
      <w:r w:rsidR="00ED42ED">
        <w:t>,</w:t>
      </w:r>
      <w:r w:rsidR="008155E6">
        <w:t xml:space="preserve"> controller</w:t>
      </w:r>
      <w:r w:rsidR="00ED42ED">
        <w:t xml:space="preserve"> application</w:t>
      </w:r>
      <w:r w:rsidR="00C60E3D">
        <w:t xml:space="preserve"> </w:t>
      </w:r>
    </w:p>
    <w:p w14:paraId="720C9607" w14:textId="77777777" w:rsidR="00E4673D" w:rsidRDefault="00E4673D" w:rsidP="00112B0A"/>
    <w:p w14:paraId="16A7235D" w14:textId="7DC10C94" w:rsidR="00112B0A" w:rsidRDefault="00112B0A" w:rsidP="00112B0A">
      <w:r>
        <w:t>The following controls will mitigate administrative account or OS compromises:</w:t>
      </w:r>
    </w:p>
    <w:p w14:paraId="25045C49" w14:textId="222D60AA" w:rsidR="00112B0A" w:rsidRDefault="00112B0A" w:rsidP="00112B0A">
      <w:pPr>
        <w:pStyle w:val="ListParagraph"/>
        <w:numPr>
          <w:ilvl w:val="0"/>
          <w:numId w:val="2"/>
        </w:numPr>
      </w:pPr>
      <w:r>
        <w:t xml:space="preserve">Failsafe temperature boundaries implemented on the MA-Nodes cannot be changed through the application </w:t>
      </w:r>
    </w:p>
    <w:p w14:paraId="33552A85" w14:textId="64080179" w:rsidR="00112B0A" w:rsidRDefault="00112B0A" w:rsidP="00112B0A">
      <w:pPr>
        <w:pStyle w:val="ListParagraph"/>
        <w:numPr>
          <w:ilvl w:val="0"/>
          <w:numId w:val="2"/>
        </w:numPr>
      </w:pPr>
      <w:r>
        <w:t>OS administration via SSH key authentication is not exposed to the internet or the MA-Node network</w:t>
      </w:r>
    </w:p>
    <w:p w14:paraId="654D0D86" w14:textId="3174D467" w:rsidR="00112B0A" w:rsidRDefault="00112B0A" w:rsidP="00112B0A">
      <w:pPr>
        <w:pStyle w:val="ListParagraph"/>
        <w:numPr>
          <w:ilvl w:val="0"/>
          <w:numId w:val="2"/>
        </w:numPr>
      </w:pPr>
      <w:r>
        <w:t>HTTP and MQTT application components implemented as microservices, preventing OS access if exploited</w:t>
      </w:r>
    </w:p>
    <w:p w14:paraId="1F2EE5E7" w14:textId="18DABEE3" w:rsidR="009F0E51" w:rsidRDefault="009F0E51" w:rsidP="00112B0A">
      <w:pPr>
        <w:pStyle w:val="ListParagraph"/>
        <w:numPr>
          <w:ilvl w:val="0"/>
          <w:numId w:val="2"/>
        </w:numPr>
      </w:pPr>
      <w:r>
        <w:t>Cloud hosting physical attack vectors, offers network segmentation options and high reliability</w:t>
      </w:r>
    </w:p>
    <w:p w14:paraId="4D3712B8" w14:textId="77777777" w:rsidR="00306638" w:rsidRDefault="00306638" w:rsidP="004079D2">
      <w:pPr>
        <w:spacing w:line="240" w:lineRule="auto"/>
        <w:rPr>
          <w:rFonts w:eastAsia="Times New Roman"/>
          <w:b/>
          <w:bCs/>
          <w:color w:val="000000"/>
          <w:sz w:val="48"/>
          <w:szCs w:val="48"/>
          <w:lang w:eastAsia="en-US"/>
        </w:rPr>
      </w:pPr>
    </w:p>
    <w:p w14:paraId="2EBBD0E1" w14:textId="77777777" w:rsidR="00306638" w:rsidRDefault="00306638" w:rsidP="004079D2">
      <w:pPr>
        <w:spacing w:line="240" w:lineRule="auto"/>
        <w:rPr>
          <w:rFonts w:eastAsia="Times New Roman"/>
          <w:b/>
          <w:bCs/>
          <w:color w:val="000000"/>
          <w:sz w:val="48"/>
          <w:szCs w:val="48"/>
          <w:lang w:eastAsia="en-US"/>
        </w:rPr>
      </w:pPr>
    </w:p>
    <w:p w14:paraId="6ABA490D" w14:textId="77777777" w:rsidR="00306638" w:rsidRDefault="00306638" w:rsidP="004079D2">
      <w:pPr>
        <w:spacing w:line="240" w:lineRule="auto"/>
        <w:rPr>
          <w:rFonts w:eastAsia="Times New Roman"/>
          <w:b/>
          <w:bCs/>
          <w:color w:val="000000"/>
          <w:sz w:val="48"/>
          <w:szCs w:val="48"/>
          <w:lang w:eastAsia="en-US"/>
        </w:rPr>
      </w:pPr>
    </w:p>
    <w:p w14:paraId="72FD4D67" w14:textId="77777777" w:rsidR="00306638" w:rsidRDefault="00306638" w:rsidP="004079D2">
      <w:pPr>
        <w:spacing w:line="240" w:lineRule="auto"/>
        <w:rPr>
          <w:rFonts w:eastAsia="Times New Roman"/>
          <w:b/>
          <w:bCs/>
          <w:color w:val="000000"/>
          <w:sz w:val="48"/>
          <w:szCs w:val="48"/>
          <w:lang w:eastAsia="en-US"/>
        </w:rPr>
      </w:pPr>
    </w:p>
    <w:p w14:paraId="6BCCE093" w14:textId="77777777" w:rsidR="00306638" w:rsidRDefault="00306638" w:rsidP="004079D2">
      <w:pPr>
        <w:spacing w:line="240" w:lineRule="auto"/>
        <w:rPr>
          <w:rFonts w:eastAsia="Times New Roman"/>
          <w:b/>
          <w:bCs/>
          <w:color w:val="000000"/>
          <w:sz w:val="48"/>
          <w:szCs w:val="48"/>
          <w:lang w:eastAsia="en-US"/>
        </w:rPr>
      </w:pPr>
    </w:p>
    <w:p w14:paraId="5AD13948" w14:textId="7A8F701C" w:rsidR="004079D2" w:rsidRPr="004079D2" w:rsidRDefault="004079D2" w:rsidP="00407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79D2">
        <w:rPr>
          <w:rFonts w:eastAsia="Times New Roman"/>
          <w:b/>
          <w:bCs/>
          <w:color w:val="000000"/>
          <w:sz w:val="48"/>
          <w:szCs w:val="48"/>
          <w:lang w:eastAsia="en-US"/>
        </w:rPr>
        <w:lastRenderedPageBreak/>
        <w:t>References: </w:t>
      </w:r>
    </w:p>
    <w:p w14:paraId="13831956" w14:textId="77777777" w:rsidR="004079D2" w:rsidRPr="00C23034" w:rsidRDefault="004079D2" w:rsidP="004079D2">
      <w:r w:rsidRPr="00C23034">
        <w:t xml:space="preserve">Bagnato, A., Kordy, B., Meland, P. H. &amp; Schweitzer, P. (2012) Attribute Decoration of Attack-Defense Trees. </w:t>
      </w:r>
      <w:r w:rsidRPr="00C23034">
        <w:rPr>
          <w:i/>
          <w:iCs/>
        </w:rPr>
        <w:t>International Journal of Secure Software Engineering</w:t>
      </w:r>
      <w:r w:rsidRPr="00C23034">
        <w:t xml:space="preserve"> 3(2): 1-35. DOI: </w:t>
      </w:r>
      <w:hyperlink r:id="rId16" w:history="1">
        <w:r w:rsidRPr="00C23034">
          <w:rPr>
            <w:rStyle w:val="Hyperlink"/>
          </w:rPr>
          <w:t>https://doi.org/10.4018/jsse.2012040101</w:t>
        </w:r>
      </w:hyperlink>
    </w:p>
    <w:p w14:paraId="276FB636" w14:textId="5D8819CA" w:rsidR="004079D2" w:rsidRPr="00C23034" w:rsidRDefault="004079D2" w:rsidP="004079D2">
      <w:r w:rsidRPr="00C23034">
        <w:t xml:space="preserve">Canadian Privacy Commissioner. (2019) PIPEDA in brief. Available from: </w:t>
      </w:r>
      <w:hyperlink r:id="rId17" w:history="1">
        <w:r w:rsidRPr="00C23034">
          <w:rPr>
            <w:rStyle w:val="Hyperlink"/>
          </w:rPr>
          <w:t>https://www.priv.gc.ca/en/privacy-topics/privacy-laws-in-canada/the-personal-information-protection-and-electronic-documents-act-pipeda/pipeda_brief/</w:t>
        </w:r>
      </w:hyperlink>
      <w:r w:rsidRPr="00C23034">
        <w:t xml:space="preserve">  [Accessed 27 November 2021].</w:t>
      </w:r>
    </w:p>
    <w:p w14:paraId="03ADF16A" w14:textId="626CF28F" w:rsidR="004079D2" w:rsidRPr="00C23034" w:rsidRDefault="004079D2" w:rsidP="004079D2">
      <w:r w:rsidRPr="00C23034">
        <w:t xml:space="preserve">Firdous, S., Baig, C., ValliC &amp; Ibrahim, A. (2017) ‘Modelling and Evaluation of Malicious Attacks against the IoT MQTT Protocol’, </w:t>
      </w:r>
      <w:r w:rsidRPr="00C23034">
        <w:rPr>
          <w:rStyle w:val="Emphasis"/>
          <w:color w:val="333333"/>
          <w:sz w:val="20"/>
          <w:szCs w:val="20"/>
          <w:shd w:val="clear" w:color="auto" w:fill="FFFFFF"/>
        </w:rPr>
        <w:t>EEE International Conference on Internet of Things (iThings) and IEEE Green Computing and Communications (GreenCom) and IEEE Cyber, Physical and Social Computing (CPSCom) and IEEE Smart Data (SmartData)</w:t>
      </w:r>
      <w:r w:rsidRPr="00C23034">
        <w:t>. Exeter</w:t>
      </w:r>
      <w:r w:rsidR="00093D6E">
        <w:t>,</w:t>
      </w:r>
      <w:r w:rsidRPr="00C23034">
        <w:t xml:space="preserve"> United Kingdom, 21-23 June 2017. IEEE. 748-755.</w:t>
      </w:r>
    </w:p>
    <w:p w14:paraId="43132109" w14:textId="6AC08177" w:rsidR="004079D2" w:rsidRPr="00C23034" w:rsidRDefault="004079D2" w:rsidP="004079D2">
      <w:r w:rsidRPr="00C23034">
        <w:t xml:space="preserve">Johnson, A. (2016) Mirai: what you need to know about the botnet behind recent major DDoS attacks. Available from: </w:t>
      </w:r>
      <w:hyperlink r:id="rId18" w:history="1">
        <w:r w:rsidRPr="00C23034">
          <w:rPr>
            <w:rStyle w:val="Hyperlink"/>
          </w:rPr>
          <w:t>https://community.broadcom.com/symantecenterprise/communities/community-home/librarydocuments/viewdocument?DocumentKey=48e65595-ef3d-4653-bc6f-4c04d2667c36&amp;CommunityKey=1ecf5f55-9545-44d6-b0f4-4e4a7f5f5e68&amp;tab=librarydocuments</w:t>
        </w:r>
      </w:hyperlink>
      <w:r w:rsidR="00A9600F" w:rsidRPr="00C23034">
        <w:t xml:space="preserve"> </w:t>
      </w:r>
      <w:r w:rsidRPr="00C23034">
        <w:t>[Accessed 27 November 2021].</w:t>
      </w:r>
    </w:p>
    <w:p w14:paraId="4FE73295" w14:textId="08A24F50" w:rsidR="004079D2" w:rsidRPr="00C23034" w:rsidRDefault="004079D2" w:rsidP="004079D2">
      <w:r w:rsidRPr="00C23034">
        <w:t xml:space="preserve">Knieriem, B., Zhang, X., Levine, P., Breitinger, E. &amp; Baggili, I. (2018) ‘An Overview of the usage of Default Passwords’, </w:t>
      </w:r>
      <w:r w:rsidRPr="00C23034">
        <w:rPr>
          <w:color w:val="000000"/>
          <w:sz w:val="18"/>
          <w:szCs w:val="18"/>
          <w:shd w:val="clear" w:color="auto" w:fill="FFFFFF"/>
        </w:rPr>
        <w:t>9th EAI International Conference on Digital Forensics &amp; Cyber Crime</w:t>
      </w:r>
      <w:r w:rsidRPr="00C23034">
        <w:t xml:space="preserve">. Prague, Czech Republic, 9-11 October 2017. Berlin:Springer. 195-203. Available from: </w:t>
      </w:r>
      <w:hyperlink r:id="rId19" w:history="1">
        <w:r w:rsidRPr="00C23034">
          <w:rPr>
            <w:rStyle w:val="Hyperlink"/>
          </w:rPr>
          <w:t>https://digitalcommons.newhaven.edu/electricalcomputerengineering-facpubs/69/</w:t>
        </w:r>
      </w:hyperlink>
      <w:r w:rsidRPr="00C23034">
        <w:t xml:space="preserve"> [Accessed November 24 2021].</w:t>
      </w:r>
    </w:p>
    <w:p w14:paraId="738C4F93" w14:textId="77777777" w:rsidR="004079D2" w:rsidRPr="00C23034" w:rsidRDefault="004079D2" w:rsidP="004079D2">
      <w:r w:rsidRPr="00C23034">
        <w:t xml:space="preserve">Kordy, B., Mauw, S., Radomirovic, S. &amp; Schweitzer, P. (2014) Attack-defense trees. </w:t>
      </w:r>
      <w:r w:rsidRPr="00C23034">
        <w:rPr>
          <w:i/>
          <w:iCs/>
        </w:rPr>
        <w:t xml:space="preserve">Journal of Logic and Computation </w:t>
      </w:r>
      <w:r w:rsidRPr="00C23034">
        <w:t>24(1):55-87. DOI:</w:t>
      </w:r>
      <w:hyperlink r:id="rId20" w:history="1">
        <w:r w:rsidRPr="00C23034">
          <w:rPr>
            <w:rStyle w:val="Hyperlink"/>
          </w:rPr>
          <w:t>https://doi.org/10.1093/logcom/exs029</w:t>
        </w:r>
      </w:hyperlink>
    </w:p>
    <w:p w14:paraId="68D5A53F" w14:textId="77777777" w:rsidR="004079D2" w:rsidRPr="00C23034" w:rsidRDefault="004079D2" w:rsidP="004079D2">
      <w:r w:rsidRPr="00C23034">
        <w:t xml:space="preserve">Musman, S. (2018) A game theoretic approach to cyber security risk management. </w:t>
      </w:r>
      <w:r w:rsidRPr="00C23034">
        <w:rPr>
          <w:i/>
          <w:iCs/>
        </w:rPr>
        <w:t>The journal of Defense Modeling and Simulation: Applications, Methodology, Technology</w:t>
      </w:r>
      <w:r w:rsidRPr="00C23034">
        <w:t xml:space="preserve"> 15(2):127-146. DOI: 10.1177/1548512917699724</w:t>
      </w:r>
    </w:p>
    <w:p w14:paraId="673162FC" w14:textId="5594EEC9" w:rsidR="004079D2" w:rsidRPr="00C23034" w:rsidRDefault="004079D2" w:rsidP="004079D2">
      <w:r w:rsidRPr="00C23034">
        <w:t xml:space="preserve">National Vulnerability Database. (n.d.) CVE. Available from: </w:t>
      </w:r>
      <w:hyperlink r:id="rId21" w:history="1">
        <w:r w:rsidR="00E4673D" w:rsidRPr="00C23034">
          <w:rPr>
            <w:rStyle w:val="Hyperlink"/>
          </w:rPr>
          <w:t>https://cve.mitre.org/cgi-bin/cvekey.cgi?keyword=mqtt+mosquitto</w:t>
        </w:r>
      </w:hyperlink>
      <w:r w:rsidR="00E4673D" w:rsidRPr="00C23034">
        <w:t xml:space="preserve"> </w:t>
      </w:r>
      <w:r w:rsidRPr="00C23034">
        <w:t>[Accessed 27 November 2021].</w:t>
      </w:r>
    </w:p>
    <w:p w14:paraId="6CAF5C79" w14:textId="150E02FA" w:rsidR="004079D2" w:rsidRPr="00C23034" w:rsidRDefault="004079D2" w:rsidP="004079D2">
      <w:r w:rsidRPr="00C23034">
        <w:t xml:space="preserve">OASIS Open. (2019) MQTT Version 5.0. Available from: </w:t>
      </w:r>
      <w:hyperlink r:id="rId22" w:history="1">
        <w:r w:rsidR="00E4673D" w:rsidRPr="00C23034">
          <w:rPr>
            <w:rStyle w:val="Hyperlink"/>
          </w:rPr>
          <w:t>https://docs.oasis-open.org/mqtt/mqtt/v5.0/mqtt-v5.0.html</w:t>
        </w:r>
      </w:hyperlink>
      <w:r w:rsidR="00E4673D" w:rsidRPr="00C23034">
        <w:t xml:space="preserve"> </w:t>
      </w:r>
      <w:r w:rsidRPr="00C23034">
        <w:t>[Accessed 27 November 2021].</w:t>
      </w:r>
    </w:p>
    <w:p w14:paraId="1E7B829F" w14:textId="50250704" w:rsidR="004079D2" w:rsidRPr="00C23034" w:rsidRDefault="004079D2" w:rsidP="004079D2">
      <w:r w:rsidRPr="00C23034">
        <w:t xml:space="preserve">Offensive Security. (n.d.) Pivoting. Available from: </w:t>
      </w:r>
      <w:hyperlink r:id="rId23" w:history="1">
        <w:r w:rsidR="00E4673D" w:rsidRPr="00C23034">
          <w:rPr>
            <w:rStyle w:val="Hyperlink"/>
          </w:rPr>
          <w:t>https://www.offensive-security.com/metasploit-unleashed/pivoting/</w:t>
        </w:r>
      </w:hyperlink>
      <w:r w:rsidR="00E4673D" w:rsidRPr="00C23034">
        <w:t xml:space="preserve"> </w:t>
      </w:r>
      <w:r w:rsidRPr="00C23034">
        <w:t>[Accessed November 2021].</w:t>
      </w:r>
    </w:p>
    <w:p w14:paraId="034EE090" w14:textId="3A300A9E" w:rsidR="004079D2" w:rsidRPr="00C23034" w:rsidRDefault="004079D2" w:rsidP="004079D2">
      <w:r w:rsidRPr="00C23034">
        <w:t xml:space="preserve">OWASP. (2019) OWASP Internet of Things Project. Available from: </w:t>
      </w:r>
      <w:hyperlink r:id="rId24" w:anchor="tab=IoT_Top_10" w:history="1">
        <w:r w:rsidR="00E4673D" w:rsidRPr="00C23034">
          <w:rPr>
            <w:rStyle w:val="Hyperlink"/>
          </w:rPr>
          <w:t>https://wiki.owasp.org/index.php/OWASP_Internet_of_Things_Project#tab=IoT_Top_10</w:t>
        </w:r>
      </w:hyperlink>
      <w:r w:rsidR="00E4673D" w:rsidRPr="00C23034">
        <w:t xml:space="preserve"> </w:t>
      </w:r>
      <w:r w:rsidRPr="00C23034">
        <w:t>[Accessed 27 November 2021].</w:t>
      </w:r>
    </w:p>
    <w:p w14:paraId="04099CC7" w14:textId="3FBC8881" w:rsidR="004079D2" w:rsidRPr="00C23034" w:rsidRDefault="004079D2" w:rsidP="004079D2">
      <w:r w:rsidRPr="00C23034">
        <w:t xml:space="preserve">OWASP. (2021) OWASP Web Security Testing Guide. Available from: </w:t>
      </w:r>
      <w:hyperlink r:id="rId25" w:history="1">
        <w:r w:rsidR="00E4673D" w:rsidRPr="00C23034">
          <w:rPr>
            <w:rStyle w:val="Hyperlink"/>
          </w:rPr>
          <w:t>https://owasp.org/www-project-web-security-testing-guide/</w:t>
        </w:r>
      </w:hyperlink>
      <w:r w:rsidR="00E4673D" w:rsidRPr="00C23034">
        <w:t xml:space="preserve"> </w:t>
      </w:r>
      <w:r w:rsidRPr="00C23034">
        <w:t>[Accessed 27 November 2021].</w:t>
      </w:r>
    </w:p>
    <w:p w14:paraId="2AF09458" w14:textId="4F7CB1E2" w:rsidR="002A6860" w:rsidRPr="00C23034" w:rsidRDefault="004079D2" w:rsidP="004079D2">
      <w:r w:rsidRPr="00C23034">
        <w:lastRenderedPageBreak/>
        <w:t xml:space="preserve">Verizon. (2021) DBIR 2021 Data Breach Investigations Report. Available from:  </w:t>
      </w:r>
      <w:hyperlink r:id="rId26" w:history="1">
        <w:r w:rsidR="00E4673D" w:rsidRPr="00C23034">
          <w:rPr>
            <w:rStyle w:val="Hyperlink"/>
          </w:rPr>
          <w:t>https://www.verizon.com/business/resources/reports/dbir</w:t>
        </w:r>
      </w:hyperlink>
      <w:r w:rsidR="00E4673D" w:rsidRPr="00C23034">
        <w:t xml:space="preserve"> </w:t>
      </w:r>
      <w:r w:rsidRPr="00C23034">
        <w:t>[Accessed 12 June 2021].</w:t>
      </w:r>
    </w:p>
    <w:p w14:paraId="6A77B17C" w14:textId="77777777" w:rsidR="002A6860" w:rsidRDefault="002A6860">
      <w:pPr>
        <w:jc w:val="center"/>
      </w:pPr>
    </w:p>
    <w:sectPr w:rsidR="002A6860" w:rsidSect="00E4673D">
      <w:pgSz w:w="12240" w:h="15840"/>
      <w:pgMar w:top="1440" w:right="1440" w:bottom="90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B64"/>
    <w:multiLevelType w:val="hybridMultilevel"/>
    <w:tmpl w:val="FECA1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016D2"/>
    <w:multiLevelType w:val="hybridMultilevel"/>
    <w:tmpl w:val="4E301C5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9682B43"/>
    <w:multiLevelType w:val="multilevel"/>
    <w:tmpl w:val="EBA6F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60"/>
    <w:rsid w:val="00021B55"/>
    <w:rsid w:val="000258BB"/>
    <w:rsid w:val="0002692C"/>
    <w:rsid w:val="00026C70"/>
    <w:rsid w:val="00044E47"/>
    <w:rsid w:val="00061683"/>
    <w:rsid w:val="000776F6"/>
    <w:rsid w:val="00093D6E"/>
    <w:rsid w:val="000A3DB3"/>
    <w:rsid w:val="000A4A7D"/>
    <w:rsid w:val="000B2604"/>
    <w:rsid w:val="000C11AB"/>
    <w:rsid w:val="000D4E6F"/>
    <w:rsid w:val="000E30D6"/>
    <w:rsid w:val="000E323E"/>
    <w:rsid w:val="000F4993"/>
    <w:rsid w:val="00100EF1"/>
    <w:rsid w:val="00100F88"/>
    <w:rsid w:val="00112B0A"/>
    <w:rsid w:val="00115CD7"/>
    <w:rsid w:val="00166B83"/>
    <w:rsid w:val="001942CF"/>
    <w:rsid w:val="001A7706"/>
    <w:rsid w:val="001D2795"/>
    <w:rsid w:val="001D40E4"/>
    <w:rsid w:val="001D74CC"/>
    <w:rsid w:val="00203A9A"/>
    <w:rsid w:val="002265C6"/>
    <w:rsid w:val="0024297A"/>
    <w:rsid w:val="00270851"/>
    <w:rsid w:val="002A6860"/>
    <w:rsid w:val="00304C4A"/>
    <w:rsid w:val="00306638"/>
    <w:rsid w:val="003400B0"/>
    <w:rsid w:val="00361294"/>
    <w:rsid w:val="00372156"/>
    <w:rsid w:val="003909AE"/>
    <w:rsid w:val="00397D0B"/>
    <w:rsid w:val="003E089B"/>
    <w:rsid w:val="00402BC3"/>
    <w:rsid w:val="00405C74"/>
    <w:rsid w:val="004079D2"/>
    <w:rsid w:val="00411AB9"/>
    <w:rsid w:val="00461A98"/>
    <w:rsid w:val="00493704"/>
    <w:rsid w:val="0049602B"/>
    <w:rsid w:val="004B2A31"/>
    <w:rsid w:val="004D46FF"/>
    <w:rsid w:val="004D5227"/>
    <w:rsid w:val="004D5D34"/>
    <w:rsid w:val="004F0A8C"/>
    <w:rsid w:val="004F76A8"/>
    <w:rsid w:val="00564439"/>
    <w:rsid w:val="005928E3"/>
    <w:rsid w:val="00592B5B"/>
    <w:rsid w:val="00597CF5"/>
    <w:rsid w:val="005A16C9"/>
    <w:rsid w:val="005E2EA5"/>
    <w:rsid w:val="005E3BE3"/>
    <w:rsid w:val="00653DFC"/>
    <w:rsid w:val="00654AFA"/>
    <w:rsid w:val="00687686"/>
    <w:rsid w:val="006A450F"/>
    <w:rsid w:val="006A4A1F"/>
    <w:rsid w:val="006B6454"/>
    <w:rsid w:val="006C610A"/>
    <w:rsid w:val="006C623D"/>
    <w:rsid w:val="006F70D8"/>
    <w:rsid w:val="00732738"/>
    <w:rsid w:val="007413AA"/>
    <w:rsid w:val="00753290"/>
    <w:rsid w:val="0075654A"/>
    <w:rsid w:val="00767FF3"/>
    <w:rsid w:val="00781454"/>
    <w:rsid w:val="00782A36"/>
    <w:rsid w:val="00793A73"/>
    <w:rsid w:val="007A66F8"/>
    <w:rsid w:val="007D260D"/>
    <w:rsid w:val="008155E6"/>
    <w:rsid w:val="00830A27"/>
    <w:rsid w:val="00830D4B"/>
    <w:rsid w:val="0084257C"/>
    <w:rsid w:val="00874E4F"/>
    <w:rsid w:val="00876E65"/>
    <w:rsid w:val="0088376F"/>
    <w:rsid w:val="0089536D"/>
    <w:rsid w:val="00896975"/>
    <w:rsid w:val="008D5194"/>
    <w:rsid w:val="008D7642"/>
    <w:rsid w:val="008D77D5"/>
    <w:rsid w:val="009201D9"/>
    <w:rsid w:val="009477D3"/>
    <w:rsid w:val="009750FD"/>
    <w:rsid w:val="00987C22"/>
    <w:rsid w:val="009B39EE"/>
    <w:rsid w:val="009F0E51"/>
    <w:rsid w:val="009F35C3"/>
    <w:rsid w:val="00A016E7"/>
    <w:rsid w:val="00A1265E"/>
    <w:rsid w:val="00A336F0"/>
    <w:rsid w:val="00A60D88"/>
    <w:rsid w:val="00A9139E"/>
    <w:rsid w:val="00A94523"/>
    <w:rsid w:val="00A9600F"/>
    <w:rsid w:val="00AE2845"/>
    <w:rsid w:val="00AE3767"/>
    <w:rsid w:val="00B2437B"/>
    <w:rsid w:val="00B769A3"/>
    <w:rsid w:val="00BA1179"/>
    <w:rsid w:val="00BB0F12"/>
    <w:rsid w:val="00BB6CED"/>
    <w:rsid w:val="00BD018A"/>
    <w:rsid w:val="00BD4352"/>
    <w:rsid w:val="00BD4899"/>
    <w:rsid w:val="00C039FD"/>
    <w:rsid w:val="00C20A6E"/>
    <w:rsid w:val="00C23034"/>
    <w:rsid w:val="00C4023E"/>
    <w:rsid w:val="00C54559"/>
    <w:rsid w:val="00C60E3D"/>
    <w:rsid w:val="00C61B60"/>
    <w:rsid w:val="00C841C5"/>
    <w:rsid w:val="00C92DA9"/>
    <w:rsid w:val="00CB31ED"/>
    <w:rsid w:val="00CB7253"/>
    <w:rsid w:val="00CE137C"/>
    <w:rsid w:val="00D11D99"/>
    <w:rsid w:val="00D1208D"/>
    <w:rsid w:val="00D46F07"/>
    <w:rsid w:val="00D52A2E"/>
    <w:rsid w:val="00D815BD"/>
    <w:rsid w:val="00D852CD"/>
    <w:rsid w:val="00D86007"/>
    <w:rsid w:val="00D86351"/>
    <w:rsid w:val="00DB2059"/>
    <w:rsid w:val="00DD5DF1"/>
    <w:rsid w:val="00DE10B3"/>
    <w:rsid w:val="00DE3C1D"/>
    <w:rsid w:val="00DF0FCB"/>
    <w:rsid w:val="00E07787"/>
    <w:rsid w:val="00E4673D"/>
    <w:rsid w:val="00EB0C9A"/>
    <w:rsid w:val="00ED42ED"/>
    <w:rsid w:val="00F24F58"/>
    <w:rsid w:val="00F36C47"/>
    <w:rsid w:val="00F4402A"/>
    <w:rsid w:val="00F80152"/>
    <w:rsid w:val="00F80E0B"/>
    <w:rsid w:val="00F822C5"/>
    <w:rsid w:val="00F86153"/>
    <w:rsid w:val="00FD3DB3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2B1B"/>
  <w15:docId w15:val="{880AA1D3-A45B-46D9-B52F-F202917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sid w:val="00AB0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6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0A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079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79D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0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3ssa1121.github.io/climatecontrol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community.broadcom.com/symantecenterprise/communities/community-home/librarydocuments/viewdocument?DocumentKey=48e65595-ef3d-4653-bc6f-4c04d2667c36&amp;CommunityKey=1ecf5f55-9545-44d6-b0f4-4e4a7f5f5e68&amp;tab=librarydocuments" TargetMode="External"/><Relationship Id="rId26" Type="http://schemas.openxmlformats.org/officeDocument/2006/relationships/hyperlink" Target="https://www.verizon.com/business/resources/reports/dbi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ve.mitre.org/cgi-bin/cvekey.cgi?keyword=mqtt+mosquitt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riv.gc.ca/en/privacy-topics/privacy-laws-in-canada/the-personal-information-protection-and-electronic-documents-act-pipeda/pipeda_brief/" TargetMode="External"/><Relationship Id="rId25" Type="http://schemas.openxmlformats.org/officeDocument/2006/relationships/hyperlink" Target="https://owasp.org/www-project-web-security-testing-gui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4018/jsse.2012040101" TargetMode="External"/><Relationship Id="rId20" Type="http://schemas.openxmlformats.org/officeDocument/2006/relationships/hyperlink" Target="https://doi.org/10.1093/logcom/exs0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wiki.owasp.org/index.php/OWASP_Internet_of_Things_Projec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www.offensive-security.com/metasploit-unleashed/pivot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gitalcommons.newhaven.edu/electricalcomputerengineering-facpubs/69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asis-open.org/mqtt/mqtt/v5.0/mqtt-v5.0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Off21</b:Tag>
    <b:SourceType>InternetSite</b:SourceType>
    <b:Guid>{403581A9-539D-4418-A4FC-2BB3CEAFF2ED}</b:Guid>
    <b:Author>
      <b:Author>
        <b:Corporate>Offensive Security</b:Corporate>
      </b:Author>
    </b:Author>
    <b:Title>Pivoting</b:Title>
    <b:YearAccessed>2021</b:YearAccessed>
    <b:MonthAccessed>November</b:MonthAccessed>
    <b:URL>https://www.offensive-security.com/metasploit-unleashed/pivoting/</b:URL>
    <b:RefOrder>8</b:RefOrder>
  </b:Source>
  <b:Source>
    <b:Tag>Nat211</b:Tag>
    <b:SourceType>InternetSite</b:SourceType>
    <b:Guid>{31DFE202-0AFA-468E-931D-08F6CF574443}</b:Guid>
    <b:Author>
      <b:Author>
        <b:Corporate>National Vulnerability Database</b:Corporate>
      </b:Author>
    </b:Author>
    <b:Title>CVE</b:Title>
    <b:YearAccessed>2021</b:YearAccessed>
    <b:MonthAccessed>November</b:MonthAccessed>
    <b:DayAccessed>27</b:DayAccessed>
    <b:URL>https://cve.mitre.org/cgi-bin/cvekey.cgi?keyword=mqtt+mosquitto</b:URL>
    <b:RefOrder>9</b:RefOrder>
  </b:Source>
  <b:Source>
    <b:Tag>Ver21</b:Tag>
    <b:SourceType>InternetSite</b:SourceType>
    <b:Guid>{B0F617AF-CACC-497A-9AC5-6FDDC9CD2449}</b:Guid>
    <b:Author>
      <b:Author>
        <b:Corporate>Verizon</b:Corporate>
      </b:Author>
    </b:Author>
    <b:Title>DBIR 2021 Databreach Invetigations Report</b:Title>
    <b:Year>2021</b:Year>
    <b:YearAccessed>2021</b:YearAccessed>
    <b:MonthAccessed>June</b:MonthAccessed>
    <b:DayAccessed>12</b:DayAccessed>
    <b:URL>https://www.verizon.com/business/resources/reports/dbir</b:URL>
    <b:RefOrder>10</b:RefOrder>
  </b:Source>
  <b:Source>
    <b:Tag>OWA217</b:Tag>
    <b:SourceType>InternetSite</b:SourceType>
    <b:Guid>{0CF3AB39-0FB9-4999-BC44-91B6B3B300BC}</b:Guid>
    <b:Author>
      <b:Author>
        <b:Corporate>OWASP</b:Corporate>
      </b:Author>
    </b:Author>
    <b:Title>OWASP Web Security Testing Guide</b:Title>
    <b:Year>2021</b:Year>
    <b:YearAccessed>2021</b:YearAccessed>
    <b:MonthAccessed>November</b:MonthAccessed>
    <b:DayAccessed>27</b:DayAccessed>
    <b:URL>https://owasp.org/www-project-web-security-testing-guide/</b:URL>
    <b:RefOrder>12</b:RefOrder>
  </b:Source>
  <b:Source>
    <b:Tag>OAS19</b:Tag>
    <b:SourceType>InternetSite</b:SourceType>
    <b:Guid>{845FE0F9-A9EB-4FEF-ACA5-9CD26E61BF1A}</b:Guid>
    <b:Author>
      <b:Author>
        <b:Corporate>OASIS Open</b:Corporate>
      </b:Author>
    </b:Author>
    <b:Title>MQTT Version 5.0</b:Title>
    <b:Year>2019</b:Year>
    <b:YearAccessed>2021</b:YearAccessed>
    <b:MonthAccessed>November</b:MonthAccessed>
    <b:DayAccessed>27</b:DayAccessed>
    <b:URL>https://docs.oasis-open.org/mqtt/mqtt/v5.0/mqtt-v5.0.html</b:URL>
    <b:RefOrder>1</b:RefOrder>
  </b:Source>
  <b:Source>
    <b:Tag>OWA191</b:Tag>
    <b:SourceType>InternetSite</b:SourceType>
    <b:Guid>{ECF37EEB-1B8B-4507-B51E-CDAAE4FACCC8}</b:Guid>
    <b:Title>OWASP Internet of Things Project</b:Title>
    <b:Year>2019</b:Year>
    <b:Author>
      <b:Author>
        <b:Corporate>OWASP</b:Corporate>
      </b:Author>
    </b:Author>
    <b:YearAccessed>2021</b:YearAccessed>
    <b:MonthAccessed>November</b:MonthAccessed>
    <b:DayAccessed>27</b:DayAccessed>
    <b:URL>https://wiki.owasp.org/index.php/OWASP_Internet_of_Things_Project#tab=IoT_Top_10</b:URL>
    <b:RefOrder>2</b:RefOrder>
  </b:Source>
  <b:Source>
    <b:Tag>Mus18</b:Tag>
    <b:SourceType>JournalArticle</b:SourceType>
    <b:Guid>{DF908FD5-F992-4640-A0F9-95F10FC2E459}</b:Guid>
    <b:Title>A game theoretic approach to cyber security risk managment</b:Title>
    <b:Year>2018</b:Year>
    <b:YearAccessed>2021</b:YearAccessed>
    <b:MonthAccessed>November</b:MonthAccessed>
    <b:DayAccessed>27</b:DayAccessed>
    <b:Author>
      <b:Author>
        <b:NameList>
          <b:Person>
            <b:Last>Musman</b:Last>
            <b:First>Scott</b:First>
          </b:Person>
        </b:NameList>
      </b:Author>
    </b:Author>
    <b:JournalName>The journal of Defense Modeling and Simulation: Applications, Methodology, Technology</b:JournalName>
    <b:Pages>127-146</b:Pages>
    <b:Volume>15</b:Volume>
    <b:Issue>2</b:Issue>
    <b:DOI>10.1177/1548512917699724</b:DOI>
    <b:RefOrder>3</b:RefOrder>
  </b:Source>
  <b:Source>
    <b:Tag>AJo16</b:Tag>
    <b:SourceType>InternetSite</b:SourceType>
    <b:Guid>{85E43310-7497-42BD-98F2-80E17B4B95E9}</b:Guid>
    <b:Author>
      <b:Author>
        <b:NameList>
          <b:Person>
            <b:Last>Johnson</b:Last>
            <b:First>A</b:First>
          </b:Person>
        </b:NameList>
      </b:Author>
    </b:Author>
    <b:Title>Mirai: what you need to know about the botnet behind recent major DDoS attacks </b:Title>
    <b:Year>2016</b:Year>
    <b:YearAccessed>2021</b:YearAccessed>
    <b:MonthAccessed>November</b:MonthAccessed>
    <b:DayAccessed>27</b:DayAccessed>
    <b:URL>https://community.broadcom.com/symantecenterprise/communities/community-home/librarydocuments/viewdocument?DocumentKey=48e65595-ef3d-4653-bc6f-4c04d2667c36&amp;CommunityKey=1ecf5f55-9545-44d6-b0f4-4e4a7f5f5e68&amp;tab=librarydocuments</b:URL>
    <b:RefOrder>4</b:RefOrder>
  </b:Source>
  <b:Source>
    <b:Tag>Zha18</b:Tag>
    <b:SourceType>JournalArticle</b:SourceType>
    <b:Guid>{8CF8A662-75A0-4F9F-962B-428CDF59254A}</b:Guid>
    <b:Title>An Overview of the usage of Default Passwords</b:Title>
    <b:Year>2018</b:Year>
    <b:BookTitle>Digital Forensics and Cyber Crime</b:BookTitle>
    <b:Author>
      <b:Author>
        <b:NameList>
          <b:Person>
            <b:Last>Zhang</b:Last>
            <b:First>Xiaolu</b:First>
          </b:Person>
          <b:Person>
            <b:Last>Breitinger</b:Last>
            <b:First>Frank</b:First>
          </b:Person>
          <b:Person>
            <b:Last>Baggili</b:Last>
            <b:First>Ibrahim</b:First>
          </b:Person>
          <b:Person>
            <b:Last>Knieriem</b:Last>
            <b:First>Brandon</b:First>
          </b:Person>
          <b:Person>
            <b:Last>Levine</b:Last>
            <b:First>Philip</b:First>
          </b:Person>
        </b:NameList>
      </b:Author>
    </b:Author>
    <b:JournalName>Lecture Notes of the Institute for Computer Sciences</b:JournalName>
    <b:DOI>DOI: 10.1007/978-3-319-73697-6_15</b:DOI>
    <b:RefOrder>5</b:RefOrder>
  </b:Source>
  <b:Source>
    <b:Tag>Can19</b:Tag>
    <b:SourceType>InternetSite</b:SourceType>
    <b:Guid>{EE6E173A-2A8A-4290-A94F-B90A1D1F3857}</b:Guid>
    <b:Title>PIPEDA in brief</b:Title>
    <b:Year>2019</b:Year>
    <b:Author>
      <b:Author>
        <b:Corporate>Canadian Privacy Commissioner</b:Corporate>
      </b:Author>
    </b:Author>
    <b:YearAccessed>2021</b:YearAccessed>
    <b:MonthAccessed>November</b:MonthAccessed>
    <b:DayAccessed>27</b:DayAccessed>
    <b:URL>https://www.priv.gc.ca/en/privacy-topics/privacy-laws-in-canada/the-personal-information-protection-and-electronic-documents-act-pipeda/pipeda_brief/</b:URL>
    <b:RefOrder>6</b:RefOrder>
  </b:Source>
  <b:Source>
    <b:Tag>Fir17</b:Tag>
    <b:SourceType>ConferenceProceedings</b:SourceType>
    <b:Guid>{4D8DCE29-5723-4DA8-AEF4-40CDAC94C6EC}</b:Guid>
    <b:Title>Modelling and Evaluation of Malicious Attacks against the IoT MQTT Protocol</b:Title>
    <b:Year>2017</b:Year>
    <b:YearAccessed>2021</b:YearAccessed>
    <b:MonthAccessed>November</b:MonthAccessed>
    <b:DayAccessed>27</b:DayAccessed>
    <b:URL>https://ieeexplore.ieee.org/abstract/document/8276834</b:URL>
    <b:Publisher>IEEE</b:Publisher>
    <b:Author>
      <b:Author>
        <b:NameList>
          <b:Person>
            <b:Last>Firdous</b:Last>
            <b:First>S</b:First>
          </b:Person>
          <b:Person>
            <b:Last>Baig</b:Last>
            <b:First>C</b:First>
          </b:Person>
          <b:Person>
            <b:Last>ValliC</b:Last>
          </b:Person>
          <b:Person>
            <b:Last>Ibrahim</b:Last>
            <b:First>A</b:First>
          </b:Person>
        </b:NameList>
      </b:Author>
    </b:Author>
    <b:Pages>748-755</b:Pages>
    <b:ConferenceName>2017 IEEE International Conference on Internet of Things (iThings) and IEEE Green Computing and Communications (GreenCom) and IEEE Cyber, Physical and Social Computing (CPSCom) and IEEE Smart Data (SmartData)</b:ConferenceName>
    <b:DOI>0.1109/iThings-GreenCom-CPSCom-SmartData.2017.115</b:DOI>
    <b:RefOrder>7</b:RefOrder>
  </b:Source>
  <b:Source>
    <b:Tag>Bag12</b:Tag>
    <b:SourceType>JournalArticle</b:SourceType>
    <b:Guid>{ED017EEE-679C-479C-9D7E-C1DE3E4F1ED2}</b:Guid>
    <b:Title>Attribute Decoration of Attack-Defense Trees</b:Title>
    <b:Year>2012</b:Year>
    <b:Author>
      <b:Author>
        <b:NameList>
          <b:Person>
            <b:Last>Bagnato</b:Last>
            <b:First>Alessandra</b:First>
          </b:Person>
          <b:Person>
            <b:Last>Kordy</b:Last>
            <b:First>Barbara</b:First>
          </b:Person>
          <b:Person>
            <b:Last>Meland</b:Last>
            <b:Middle>Hakon</b:Middle>
            <b:First>Per</b:First>
          </b:Person>
          <b:Person>
            <b:Last>Schweitzer</b:Last>
            <b:First>Patrick</b:First>
          </b:Person>
        </b:NameList>
      </b:Author>
    </b:Author>
    <b:JournalName>International Journal of Secure Software Engineering</b:JournalName>
    <b:Pages>1-35</b:Pages>
    <b:Volume>3</b:Volume>
    <b:Issue>2</b:Issue>
    <b:YearAccessed>2021</b:YearAccessed>
    <b:MonthAccessed>November</b:MonthAccessed>
    <b:DayAccessed>15</b:DayAccessed>
    <b:URL>https://dl.acm.org/doi/10.4018/jsse.2012040101</b:URL>
    <b:RefOrder>11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/pU7k52//CdLnSZSxgQlgat1Eg==">AMUW2mWcXLjKD7EsNMRhu+kO8Ov8ZNJTz5DcY9L7+ys11jYFYOFoBhmsMXDZEX4BpTpePZwPLkF7tINRxt/Eglqk5rMu0c5IddY/Q7dMHrnHjELkX/IH+Bg=</go:docsCustomData>
</go:gDocsCustomXmlDataStorage>
</file>

<file path=customXml/itemProps1.xml><?xml version="1.0" encoding="utf-8"?>
<ds:datastoreItem xmlns:ds="http://schemas.openxmlformats.org/officeDocument/2006/customXml" ds:itemID="{029892B5-CBA9-467C-965D-9D31CF495F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Leece</dc:creator>
  <cp:lastModifiedBy>Doug Leece</cp:lastModifiedBy>
  <cp:revision>18</cp:revision>
  <dcterms:created xsi:type="dcterms:W3CDTF">2021-11-29T00:57:00Z</dcterms:created>
  <dcterms:modified xsi:type="dcterms:W3CDTF">2021-11-29T01:31:00Z</dcterms:modified>
</cp:coreProperties>
</file>