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56"/>
          <w:szCs w:val="56"/>
        </w:rPr>
      </w:pPr>
      <w:r>
        <w:rPr>
          <w:rFonts w:cs="Times New Roman" w:ascii="Times New Roman" w:hAnsi="Times New Roman"/>
          <w:b/>
          <w:bCs/>
          <w:sz w:val="56"/>
          <w:szCs w:val="56"/>
        </w:rPr>
        <w:t>Budapesti Corvinus Egyetem</w:t>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t>Közgazdasági intézet</w:t>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Cs/>
          <w:sz w:val="40"/>
          <w:szCs w:val="40"/>
        </w:rPr>
      </w:pPr>
      <w:r>
        <w:rPr>
          <w:rFonts w:cs="Times New Roman" w:ascii="Times New Roman" w:hAnsi="Times New Roman"/>
          <w:b/>
          <w:bCs/>
          <w:sz w:val="40"/>
          <w:szCs w:val="40"/>
        </w:rPr>
        <w:t>Lakásépítés járási szinten – Van a CSOK iránti érdeklődésnek hatása?</w:t>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Dittrich Levente</w:t>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Alkalmazott közgazdaságtan szak</w:t>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Témavezető: Kovács László</w:t>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b/>
          <w:bCs/>
          <w:sz w:val="36"/>
          <w:szCs w:val="36"/>
        </w:rPr>
      </w:pPr>
      <w:r>
        <w:rPr>
          <w:rFonts w:cs="Times New Roman" w:ascii="Times New Roman" w:hAnsi="Times New Roman"/>
          <w:b/>
          <w:bCs/>
          <w:sz w:val="36"/>
          <w:szCs w:val="36"/>
        </w:rPr>
        <w:t>2024.</w:t>
      </w:r>
    </w:p>
    <w:sdt>
      <w:sdtPr>
        <w:docPartObj>
          <w:docPartGallery w:val="Table of Contents"/>
          <w:docPartUnique w:val="true"/>
        </w:docPartObj>
      </w:sdtPr>
      <w:sdtContent>
        <w:p>
          <w:pPr>
            <w:pStyle w:val="Tartalomjegyzk-fejlc"/>
            <w:spacing w:lineRule="auto" w:line="276"/>
            <w:rPr>
              <w:rFonts w:ascii="Times New Roman" w:hAnsi="Times New Roman" w:cs="Times New Roman"/>
              <w:b/>
              <w:bCs/>
              <w:color w:val="auto"/>
              <w:sz w:val="24"/>
              <w:szCs w:val="24"/>
              <w:lang w:val="en-US"/>
            </w:rPr>
          </w:pPr>
          <w:r>
            <w:br w:type="page"/>
          </w:r>
          <w:r>
            <w:rPr>
              <w:rFonts w:cs="Times New Roman" w:ascii="Times New Roman" w:hAnsi="Times New Roman"/>
              <w:b/>
              <w:bCs/>
              <w:color w:val="auto"/>
              <w:sz w:val="24"/>
              <w:szCs w:val="24"/>
            </w:rPr>
            <w:t>Tartalomjegyzék</w:t>
          </w:r>
        </w:p>
        <w:p>
          <w:pPr>
            <w:pStyle w:val="Tartalomjegyzk1"/>
            <w:rPr>
              <w:rFonts w:eastAsia="" w:eastAsiaTheme="minorEastAsia"/>
              <w:kern w:val="2"/>
              <w:sz w:val="24"/>
              <w:szCs w:val="24"/>
              <w14:ligatures w14:val="standardContextual"/>
            </w:rPr>
          </w:pPr>
          <w:r>
            <w:fldChar w:fldCharType="begin"/>
          </w:r>
          <w:r>
            <w:rPr>
              <w:webHidden/>
              <w:rStyle w:val="Jegyzkhivatkozs"/>
              <w:sz w:val="24"/>
              <w:szCs w:val="24"/>
              <w:vanish w:val="false"/>
            </w:rPr>
            <w:instrText xml:space="preserve"> TOC \z \o "1-3" \u \h</w:instrText>
          </w:r>
          <w:r>
            <w:rPr>
              <w:webHidden/>
              <w:rStyle w:val="Jegyzkhivatkozs"/>
              <w:sz w:val="24"/>
              <w:szCs w:val="24"/>
              <w:vanish w:val="false"/>
            </w:rPr>
            <w:fldChar w:fldCharType="separate"/>
          </w:r>
          <w:hyperlink w:anchor="_Toc136700569">
            <w:r>
              <w:rPr>
                <w:webHidden/>
              </w:rPr>
              <w:fldChar w:fldCharType="begin"/>
            </w:r>
            <w:r>
              <w:rPr>
                <w:webHidden/>
              </w:rPr>
              <w:instrText xml:space="preserve">PAGEREF _Toc136700569 \h</w:instrText>
            </w:r>
            <w:r>
              <w:rPr>
                <w:webHidden/>
              </w:rPr>
              <w:fldChar w:fldCharType="separate"/>
            </w:r>
            <w:r>
              <w:rPr>
                <w:webHidden/>
                <w:rStyle w:val="Jegyzkhivatkozs"/>
                <w:vanish w:val="false"/>
                <w:sz w:val="24"/>
                <w:szCs w:val="24"/>
              </w:rPr>
              <w:t>Lakásépítés járási szinten - Van a CSOK iránti érdeklődésnek hatása?</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0">
            <w:r>
              <w:rPr>
                <w:webHidden/>
              </w:rPr>
              <w:fldChar w:fldCharType="begin"/>
            </w:r>
            <w:r>
              <w:rPr>
                <w:webHidden/>
              </w:rPr>
              <w:instrText xml:space="preserve">PAGEREF _Toc136700570 \h</w:instrText>
            </w:r>
            <w:r>
              <w:rPr>
                <w:webHidden/>
              </w:rPr>
              <w:fldChar w:fldCharType="separate"/>
            </w:r>
            <w:r>
              <w:rPr>
                <w:webHidden/>
                <w:rStyle w:val="Jegyzkhivatkozs"/>
                <w:rFonts w:cs="Times New Roman" w:ascii="Times New Roman" w:hAnsi="Times New Roman"/>
                <w:vanish w:val="false"/>
                <w:sz w:val="24"/>
                <w:szCs w:val="24"/>
              </w:rPr>
              <w:t>Bevezetés</w:t>
              <w:tab/>
              <w:t>2</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1">
            <w:r>
              <w:rPr>
                <w:webHidden/>
              </w:rPr>
              <w:fldChar w:fldCharType="begin"/>
            </w:r>
            <w:r>
              <w:rPr>
                <w:webHidden/>
              </w:rPr>
              <w:instrText xml:space="preserve">PAGEREF _Toc136700571 \h</w:instrText>
            </w:r>
            <w:r>
              <w:rPr>
                <w:webHidden/>
              </w:rPr>
              <w:fldChar w:fldCharType="separate"/>
            </w:r>
            <w:r>
              <w:rPr>
                <w:webHidden/>
                <w:rStyle w:val="Jegyzkhivatkozs"/>
                <w:rFonts w:cs="Times New Roman" w:ascii="Times New Roman" w:hAnsi="Times New Roman"/>
                <w:vanish w:val="false"/>
                <w:sz w:val="24"/>
                <w:szCs w:val="24"/>
              </w:rPr>
              <w:t>Adatok és módszer</w:t>
              <w:tab/>
              <w:t>2</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2">
            <w:r>
              <w:rPr>
                <w:webHidden/>
              </w:rPr>
              <w:fldChar w:fldCharType="begin"/>
            </w:r>
            <w:r>
              <w:rPr>
                <w:webHidden/>
              </w:rPr>
              <w:instrText xml:space="preserve">PAGEREF _Toc136700572 \h</w:instrText>
            </w:r>
            <w:r>
              <w:rPr>
                <w:webHidden/>
              </w:rPr>
              <w:fldChar w:fldCharType="separate"/>
            </w:r>
            <w:r>
              <w:rPr>
                <w:webHidden/>
                <w:rStyle w:val="Jegyzkhivatkozs"/>
                <w:rFonts w:cs="Times New Roman" w:ascii="Times New Roman" w:hAnsi="Times New Roman"/>
                <w:vanish w:val="false"/>
                <w:sz w:val="24"/>
                <w:szCs w:val="24"/>
              </w:rPr>
              <w:t>Eredmények</w:t>
              <w:tab/>
              <w:t>6</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3">
            <w:r>
              <w:rPr>
                <w:webHidden/>
              </w:rPr>
              <w:fldChar w:fldCharType="begin"/>
            </w:r>
            <w:r>
              <w:rPr>
                <w:webHidden/>
              </w:rPr>
              <w:instrText xml:space="preserve">PAGEREF _Toc136700573 \h</w:instrText>
            </w:r>
            <w:r>
              <w:rPr>
                <w:webHidden/>
              </w:rPr>
              <w:fldChar w:fldCharType="separate"/>
            </w:r>
            <w:r>
              <w:rPr>
                <w:webHidden/>
                <w:rStyle w:val="Jegyzkhivatkozs"/>
                <w:rFonts w:cs="Times New Roman" w:ascii="Times New Roman" w:hAnsi="Times New Roman"/>
                <w:vanish w:val="false"/>
                <w:sz w:val="24"/>
                <w:szCs w:val="24"/>
              </w:rPr>
              <w:t>Diszkusszió</w:t>
              <w:tab/>
              <w:t>9</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4">
            <w:r>
              <w:rPr>
                <w:webHidden/>
              </w:rPr>
              <w:fldChar w:fldCharType="begin"/>
            </w:r>
            <w:r>
              <w:rPr>
                <w:webHidden/>
              </w:rPr>
              <w:instrText xml:space="preserve">PAGEREF _Toc136700574 \h</w:instrText>
            </w:r>
            <w:r>
              <w:rPr>
                <w:webHidden/>
              </w:rPr>
              <w:fldChar w:fldCharType="separate"/>
            </w:r>
            <w:r>
              <w:rPr>
                <w:webHidden/>
                <w:rStyle w:val="Jegyzkhivatkozs"/>
                <w:rFonts w:cs="Times New Roman" w:ascii="Times New Roman" w:hAnsi="Times New Roman"/>
                <w:vanish w:val="false"/>
                <w:sz w:val="24"/>
                <w:szCs w:val="24"/>
              </w:rPr>
              <w:t>Irodalomjegyzék</w:t>
              <w:tab/>
              <w:t>10</w:t>
            </w:r>
            <w:r>
              <w:rPr>
                <w:webHidden/>
              </w:rPr>
              <w:fldChar w:fldCharType="end"/>
            </w:r>
          </w:hyperlink>
        </w:p>
        <w:p>
          <w:pPr>
            <w:pStyle w:val="Normal"/>
            <w:rPr>
              <w:rFonts w:ascii="Times New Roman" w:hAnsi="Times New Roman" w:cs="Times New Roman"/>
              <w:b/>
              <w:bCs/>
            </w:rPr>
          </w:pPr>
          <w:r>
            <w:rPr>
              <w:rFonts w:cs="Times New Roman" w:ascii="Times New Roman" w:hAnsi="Times New Roman"/>
              <w:b/>
              <w:bCs/>
            </w:rPr>
          </w:r>
          <w:r>
            <w:rPr>
              <w:b/>
              <w:bCs/>
              <w:rFonts w:cs="Times New Roman" w:ascii="Times New Roman" w:hAnsi="Times New Roman"/>
            </w:rPr>
            <w:fldChar w:fldCharType="end"/>
          </w:r>
        </w:p>
      </w:sdtContent>
    </w:sdt>
    <w:p>
      <w:pPr>
        <w:pStyle w:val="Normal"/>
        <w:rPr>
          <w:rFonts w:ascii="Times New Roman" w:hAnsi="Times New Roman" w:cs="Times New Roman"/>
        </w:rPr>
      </w:pPr>
      <w:r>
        <w:rPr>
          <w:rFonts w:cs="Times New Roman" w:ascii="Times New Roman" w:hAnsi="Times New Roman"/>
        </w:rPr>
      </w:r>
      <w:r>
        <w:br w:type="page"/>
      </w:r>
    </w:p>
    <w:p>
      <w:pPr>
        <w:pStyle w:val="Cmsor2"/>
        <w:spacing w:lineRule="auto" w:line="276"/>
        <w:rPr>
          <w:rFonts w:ascii="Times New Roman" w:hAnsi="Times New Roman" w:cs="Times New Roman"/>
        </w:rPr>
      </w:pPr>
      <w:bookmarkStart w:id="0" w:name="_Toc136700570"/>
      <w:r>
        <w:rPr>
          <w:rFonts w:cs="Times New Roman" w:ascii="Times New Roman" w:hAnsi="Times New Roman"/>
        </w:rPr>
        <w:t>Bevezetés</w:t>
      </w:r>
      <w:bookmarkEnd w:id="0"/>
    </w:p>
    <w:p>
      <w:pPr>
        <w:pStyle w:val="Normal"/>
        <w:jc w:val="both"/>
        <w:rPr>
          <w:rFonts w:ascii="Times New Roman" w:hAnsi="Times New Roman" w:cs="Times New Roman"/>
          <w:sz w:val="24"/>
          <w:szCs w:val="24"/>
        </w:rPr>
      </w:pPr>
      <w:r>
        <w:rPr>
          <w:rFonts w:cs="Times New Roman" w:ascii="Times New Roman" w:hAnsi="Times New Roman"/>
          <w:sz w:val="24"/>
          <w:szCs w:val="24"/>
        </w:rPr>
        <w:t>Magyarországon 2016 óta létezik a Családi Otthonteremtési Kedvezmény (továbbiakban CSOK), amely egy, a családokat saját otthonhoz segítő támogatási forma. A 2016-tól induló Családvédelmi Akcióterv részeként a CSOK támogatja a házas egy, vagy több gyermeket vállalókat új lakás építésében, vásárlásában, meglévő felújításában, bővítésében. Ezen lehetőségek széles spektrumán a támogatás és támogatott hitel is változó, mind a felhasználást, mind a gyerekek számát illetően. Dolgozatomban azonban a leglényegesebb az, hogy az új ingatlan vásárlására vagy építésére 10 millió forint támogatás igényelhető 15 millió forint államilag támogatott hitellel, abban az esetben, ha a párnak van három vagy több gyermeke, illetve ha még nincsen három vagy több, de vállal minimum hármat. A lakásvásárlás és építés fellendítésére a kormány szintén 2016-ban csökkentette 5%-ra a lakásvásárlás áfáját. A későbbiekben ez ki lett vezetve, majd pedig 5 millió forintig lehetett visszaigényelni. Ezen intézkedések után még a babaváró támogatást is bevezették.</w:t>
      </w:r>
    </w:p>
    <w:p>
      <w:pPr>
        <w:pStyle w:val="Normal"/>
        <w:jc w:val="both"/>
        <w:rPr>
          <w:rFonts w:ascii="Times New Roman" w:hAnsi="Times New Roman" w:cs="Times New Roman"/>
        </w:rPr>
      </w:pPr>
      <w:r>
        <w:rPr>
          <w:rFonts w:cs="Times New Roman" w:ascii="Times New Roman" w:hAnsi="Times New Roman"/>
          <w:sz w:val="24"/>
          <w:szCs w:val="24"/>
        </w:rPr>
        <w:tab/>
        <w:t>Szakdolgozatomban azt kívánom megvizsgálni, hogy a CSOK iránti érdeklődés az interneten (Google keresések képében) és több más változókkal egyetemben milyen hatással van a lakásépítésekre járási szinten a 2012-2021 közötti tíz évben, így nézve a CSOK előtti éveket is. Különös figyelmet szentelek a területi autokorreláció szűrésére, a standard modellfeltételeknek eleget téve.</w:t>
      </w:r>
    </w:p>
    <w:p>
      <w:pPr>
        <w:pStyle w:val="Normal"/>
        <w:jc w:val="both"/>
        <w:rPr>
          <w:rFonts w:ascii="Times New Roman" w:hAnsi="Times New Roman" w:cs="Times New Roman"/>
        </w:rPr>
      </w:pPr>
      <w:r>
        <w:rPr>
          <w:rFonts w:cs="Times New Roman" w:ascii="Times New Roman" w:hAnsi="Times New Roman"/>
        </w:rPr>
      </w:r>
    </w:p>
    <w:p>
      <w:pPr>
        <w:pStyle w:val="Normal"/>
        <w:jc w:val="both"/>
        <w:rPr>
          <w:b/>
          <w:bCs/>
        </w:rPr>
      </w:pPr>
      <w:r>
        <w:rPr>
          <w:rFonts w:cs="Times New Roman" w:ascii="Times New Roman" w:hAnsi="Times New Roman"/>
          <w:b/>
          <w:bCs/>
          <w:sz w:val="24"/>
          <w:szCs w:val="24"/>
        </w:rPr>
        <w:t>Téma relevanciájának indoklása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Cmsor2"/>
        <w:spacing w:lineRule="auto" w:line="276"/>
        <w:rPr>
          <w:rFonts w:ascii="Times New Roman" w:hAnsi="Times New Roman" w:cs="Times New Roman"/>
        </w:rPr>
      </w:pPr>
      <w:bookmarkStart w:id="1" w:name="_Toc136700571"/>
      <w:r>
        <w:rPr>
          <w:rFonts w:cs="Times New Roman" w:ascii="Times New Roman" w:hAnsi="Times New Roman"/>
        </w:rPr>
        <w:t>Adatok és módszer</w:t>
      </w:r>
      <w:bookmarkEnd w:id="1"/>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Dolgozatom során főleg a KSH-tól szerzett adatokkal dolgozom, pontosabban a KSH Területi atlasz – Térképes Interaktív Megjelenítő Alkalmazás nevezetű, röviden TIMEA (KSH, 2023) online programon, bárki által elérhető járási és megyei szintű adatokkal. A másik adatforrás, amivel dolgoztam a Google Trends (Google, 2023) szolgáltatása, amin a Google keresések trendjének volumenének adatai érhetők el, akár megyei szinten is.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Eredményváltozóm tehát a tízezer főre jutó lakásépítések száma, ami azt jelenti, hogy az adott járásban az adott évben tízezer főre ennyi használatbavételi engedélyt bocsátottak ki lakásokra és házakra. Azzal, hogy ez arányosítva van a járás lakosainak számával, remekül összehasonlíthatóak a járások eltérő lakosszám esetén is. Magyarázó változóim az egy állandó lakosra jutó személyi jövedelemadó alapot képző jövedelem járási szinten, az adott járásban az átlagos ingatlanár, a százezer lakosra jutó regisztrált sértettek (bűncselekményből adódóan) száma, a foglalkoztatottsági ráta megyei szinten, beruházási teljesítményérték egy lakosra vetítve megyei szinten és a “CSOK” szó keresési trendje Google-n szintén megyei szinten. Magyarázó változóim közé bevettem egészségügyi változókat a KSH </w:t>
      </w:r>
      <w:r>
        <w:rPr>
          <w:rFonts w:cs="Times New Roman" w:ascii="Times New Roman" w:hAnsi="Times New Roman"/>
          <w:i/>
          <w:iCs/>
          <w:sz w:val="24"/>
          <w:szCs w:val="24"/>
        </w:rPr>
        <w:t>Éves településstatisztikai adatok 2022-es településszerkezetben nevű platformjáról</w:t>
      </w:r>
      <w:r>
        <w:rPr>
          <w:rFonts w:cs="Times New Roman" w:ascii="Times New Roman" w:hAnsi="Times New Roman"/>
          <w:sz w:val="24"/>
          <w:szCs w:val="24"/>
        </w:rPr>
        <w:t>, szintén arányosítva a lakossághoz. Ezekből az adatokból főkomponenseket képeztem, mivel erősen korrelálnak egymással. Az első főkomponens a háziorvosok rendelői forgalmát, összes forgalmát, felnőtt és gyermek részére szervezett háziorvosi szolgálatok számát, háziorvosok szolgálatának számát és az ápolók számát. Ezek az adatok tízezer főre vannak vetítve, hogy jobban összehasonlíthatók az eltérő lakosszámú megyék. A második főkomponensben, szintén tízezer főre vetítve a házi gyermekorvosok és a védőnők száma szerepel.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vizsgált tíz év egy viszonylagos prosperitási időszak, gazdasági értelemben konjunktúra, életszínvonal növekedés volt tapasztalható (Nagy et al., 2016). A CSOK bejelentése után egyre nagyobb arányban szerepelnek a lakáshitelek között a támogatott lakáshitelek (Dancsik et al. 2022), viszont nagy részüket használt lakás vásárlására vették fel. (MNB, 2022)</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1.táblázat: a lakásépítések leíró statisztikai mutatói</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128"/>
        <w:gridCol w:w="1130"/>
        <w:gridCol w:w="1127"/>
        <w:gridCol w:w="1127"/>
        <w:gridCol w:w="1132"/>
        <w:gridCol w:w="1127"/>
        <w:gridCol w:w="1132"/>
        <w:gridCol w:w="1125"/>
      </w:tblGrid>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Átlag</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Medián</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Min</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Max</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σ</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α</w:t>
            </w:r>
            <w:r>
              <w:rPr>
                <w:rFonts w:cs="Times New Roman" w:ascii="Times New Roman" w:hAnsi="Times New Roman"/>
                <w:sz w:val="24"/>
                <w:szCs w:val="24"/>
                <w:vertAlign w:val="superscript"/>
              </w:rPr>
              <w:t>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α</w:t>
            </w:r>
            <w:r>
              <w:rPr>
                <w:rFonts w:cs="Times New Roman" w:ascii="Times New Roman" w:hAnsi="Times New Roman"/>
                <w:sz w:val="24"/>
                <w:szCs w:val="24"/>
                <w:vertAlign w:val="superscript"/>
              </w:rPr>
              <w:t>4</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2012</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5,27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62,2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9,47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2,38</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7,18</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4,79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2,67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32,89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5,97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2,63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8,23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5,63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46,84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8,12</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2015</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5,35</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37,13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6,47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2,16</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5,03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2016</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5,84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2,86</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46,78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8,28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2,59</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7,45</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2017</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85,7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13,28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2,85</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9,89</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2018</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11,14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4,94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95,52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16,11</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2,43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6,25</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2019</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13,62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7,33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0,31</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76,85</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16,48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1,89</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3,22</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2020</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192,03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25,26</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3,03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13,74</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2021</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11,2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4,32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86,09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15,68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2,2</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4,88</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A tízezer főre jutó lakásépítések valóban emelkedtek az évek során 2020-ig, ahogy az </w:t>
      </w:r>
      <w:r>
        <w:rPr>
          <w:rFonts w:cs="Times New Roman" w:ascii="Times New Roman" w:hAnsi="Times New Roman"/>
          <w:i/>
          <w:sz w:val="24"/>
          <w:szCs w:val="24"/>
        </w:rPr>
        <w:t xml:space="preserve">1. </w:t>
      </w:r>
      <w:r>
        <w:rPr>
          <w:rFonts w:cs="Times New Roman" w:ascii="Times New Roman" w:hAnsi="Times New Roman"/>
          <w:i/>
          <w:iCs/>
          <w:sz w:val="24"/>
          <w:szCs w:val="24"/>
        </w:rPr>
        <w:t>ábra</w:t>
      </w:r>
      <w:r>
        <w:rPr>
          <w:rFonts w:cs="Times New Roman" w:ascii="Times New Roman" w:hAnsi="Times New Roman"/>
          <w:sz w:val="24"/>
          <w:szCs w:val="24"/>
        </w:rPr>
        <w:t xml:space="preserve"> is mutatja. 2020-ban tetőzött a használatbavételi engedélyek száma az országban, majd 2021-ben már sokkal alacsonyabb volt a lakásépítések száma, a 2019-es érték alá esett több helyen és az átlagos lakásépítésekben is.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Az </w:t>
      </w:r>
      <w:r>
        <w:rPr>
          <w:rFonts w:cs="Times New Roman" w:ascii="Times New Roman" w:hAnsi="Times New Roman"/>
          <w:i/>
          <w:sz w:val="24"/>
          <w:szCs w:val="24"/>
        </w:rPr>
        <w:t>1. ábra</w:t>
      </w:r>
      <w:r>
        <w:rPr>
          <w:rFonts w:cs="Times New Roman" w:ascii="Times New Roman" w:hAnsi="Times New Roman"/>
          <w:sz w:val="24"/>
          <w:szCs w:val="24"/>
        </w:rPr>
        <w:t xml:space="preserve"> azonban mást is mutat: az átlaghoz viszonyítva egy általam választott Balaton melletti, egy észak-nyugat magyarországi és Budapest agglomerációjába tartozó járásban sokkal kiemelkedőbb a lakásépítések száma. Megvizsgálva az adatokat térben egy adott időpontban, mint például 2018-ban valami érdekes jelenség fedi fel magát. A </w:t>
      </w:r>
      <w:r>
        <w:rPr>
          <w:rFonts w:cs="Times New Roman" w:ascii="Times New Roman" w:hAnsi="Times New Roman"/>
          <w:i/>
          <w:sz w:val="24"/>
          <w:szCs w:val="24"/>
        </w:rPr>
        <w:t xml:space="preserve">2. ábrán </w:t>
      </w:r>
      <w:r>
        <w:rPr>
          <w:rFonts w:cs="Times New Roman" w:ascii="Times New Roman" w:hAnsi="Times New Roman"/>
          <w:sz w:val="24"/>
          <w:szCs w:val="24"/>
        </w:rPr>
        <w:t>láthatóak úgy nevezett “hotspotok”, amik a területi adatoknál fordulhatnak elő.</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Az országban három nagyobb gócpontot tudtam azonosítani, az első Budapest és agglomerációja, amivel az M7-es autópálya nyomvonalán összeér a második gócponttal, Balaton-melletti járásokkal. Magyarországon regionális szinten eltérőek az egy főre jutó bruttó GDP adatok, például 2019-et nézve Budapesten 10 048 Ft bruttó hazai termék jutott egy főre, Győr-Moson-Sopron vármegyében 5 525 Ft, Szabolcsban pedig 2 857 Ft. (KSH, 2022) Látszik, hogy óriási különbségek vannak régiónként és Budapest a legkiemelkedőbb. Az átlagkeresetek is tükrözik ezeket a szakadékokat, Budapesten ugyanebben az évben a bruttó átlagkereset 460, Győr-Moson-Sopron vármegyében 389, Szabolcs-Szatmár-Bereg vármegyében 252 ezer forint volt. (KSH, 2022) Észszerű döntés lehet tehát a munkavállalók részéről Budapesten munkát vállalni és ott vagy az agglomerációban házat vagy lakást venni, építeni. </w:t>
      </w:r>
    </w:p>
    <w:p>
      <w:pPr>
        <w:pStyle w:val="Normal"/>
        <w:ind w:firstLine="720"/>
        <w:jc w:val="both"/>
        <w:rPr>
          <w:rFonts w:ascii="Times New Roman" w:hAnsi="Times New Roman" w:cs="Times New Roman"/>
          <w:sz w:val="24"/>
          <w:szCs w:val="24"/>
        </w:rPr>
      </w:pPr>
      <w:r>
        <w:drawing>
          <wp:anchor behindDoc="0" distT="114300" distB="114300" distL="114300" distR="114300" simplePos="0" locked="0" layoutInCell="0" allowOverlap="1" relativeHeight="2">
            <wp:simplePos x="0" y="0"/>
            <wp:positionH relativeFrom="margin">
              <wp:align>center</wp:align>
            </wp:positionH>
            <wp:positionV relativeFrom="paragraph">
              <wp:posOffset>332105</wp:posOffset>
            </wp:positionV>
            <wp:extent cx="5734050" cy="346011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460115"/>
                    </a:xfrm>
                    <a:prstGeom prst="rect">
                      <a:avLst/>
                    </a:prstGeom>
                  </pic:spPr>
                </pic:pic>
              </a:graphicData>
            </a:graphic>
          </wp:anchor>
        </w:drawing>
      </w:r>
      <w:r>
        <w:rPr>
          <w:rFonts w:cs="Times New Roman" w:ascii="Times New Roman" w:hAnsi="Times New Roman"/>
          <w:i/>
          <w:iCs/>
          <w:sz w:val="24"/>
          <w:szCs w:val="24"/>
        </w:rPr>
        <w:t>1.ábra: A lakásépítések trendje</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második gócpont a Balaton melletti, a Székesfehérvári és Gárdonyi járások. A Balaton mellett az utóbbi évtizedben jelentősen fellendültek a nyaralóépítések, beruházások, és az ottani, állandó lakosok száma nem olyan nagy, ám lehet, hogy sokan szeretnének ott nyaralót, ezért a tízezer főre jutó lakásépítések száma hatalmasra is ugorhat. Székesfehérvári és Gárdonyi járások esete egy picit másabb, több hatás is közre játszhat. Közel vannak a Velencei tóhoz, valamint ott halad el az M7-es autópálya, így viszonylag gyorsan el lehet jutni Budapestre vagy a Balatonhoz.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harmadik “hotspot” eggyel különlegesebb, mivel nem egy paca-szerű megjelenése van, a Győri, Mosonmagyaróvári, Soproni, Kapuvári, Kőszegi, Szombathelyi, Sárvári és Szentgotthárdi járásokat foglalja magába. Az legtöbbjük közelsége az osztrák határhoz igencsak szembeötlő, illetve Győr pedig egy nagyon fejlett, prosperáló város saját egyetemmel, rengeteg beruházással.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Vannak kisebb kiemelkedő pontok, ezek megyei jogú városok járásai, mint Miskolc vagy Debrecen, de ezek egyedi, sokkal kisebb pontok.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idősoros adatoknál fordulhat elő az autokorreláció jelensége, ez azt jelenti, hogy az idősor elemei nem korrelálnak egymással. A korreláció és parciális korreláció is az idősor Y</w:t>
      </w:r>
      <w:r>
        <w:rPr>
          <w:rFonts w:cs="Times New Roman" w:ascii="Times New Roman" w:hAnsi="Times New Roman"/>
          <w:sz w:val="24"/>
          <w:szCs w:val="24"/>
          <w:vertAlign w:val="subscript"/>
        </w:rPr>
        <w:t>t</w:t>
      </w:r>
      <w:r>
        <w:rPr>
          <w:rFonts w:cs="Times New Roman" w:ascii="Times New Roman" w:hAnsi="Times New Roman"/>
          <w:sz w:val="24"/>
          <w:szCs w:val="24"/>
        </w:rPr>
        <w:t xml:space="preserve"> és Y</w:t>
      </w:r>
      <w:r>
        <w:rPr>
          <w:rFonts w:cs="Times New Roman" w:ascii="Times New Roman" w:hAnsi="Times New Roman"/>
          <w:sz w:val="24"/>
          <w:szCs w:val="24"/>
          <w:vertAlign w:val="subscript"/>
        </w:rPr>
        <w:t>t-k</w:t>
      </w:r>
      <w:r>
        <w:rPr>
          <w:rFonts w:cs="Times New Roman" w:ascii="Times New Roman" w:hAnsi="Times New Roman"/>
          <w:sz w:val="24"/>
          <w:szCs w:val="24"/>
        </w:rPr>
        <w:t xml:space="preserve"> elemeire nem tér el szignifikánsan 0-tól </w:t>
      </w:r>
      <w:r>
        <w:rPr>
          <w:rFonts w:cs="Cambria Math" w:ascii="Cambria Math" w:hAnsi="Cambria Math"/>
          <w:sz w:val="24"/>
          <w:szCs w:val="24"/>
        </w:rPr>
        <w:t>∀</w:t>
      </w:r>
      <w:r>
        <w:rPr>
          <w:rFonts w:cs="Times New Roman" w:ascii="Times New Roman" w:hAnsi="Times New Roman"/>
          <w:sz w:val="24"/>
          <w:szCs w:val="24"/>
        </w:rPr>
        <w:t>k &gt; 0-ra (t,k ϵ N). A területi adatok térben egymás mellett helyezkednek el, így ezek is korrelálhatnak térbeli dimenzióból nézve egymással, ez a térbeli autokorreláció. A térbeli autokorreláció mérésére vannak különböző mutatók, ám először meg kellene határozni, hogy mely járások szomszédosak. Észszerű megoldás lenne egyszerűen összeszedni, hogy mely járásoknak van szomszédos határa melyikkel. Alternatívaként azt is meg lehetne nézni, hogy a járások geometriai középpontjai egy megadott távolságon belül helyezkednek el egymáshoz képest. A szomszédság definiálásához én inkább egy inverz távolságalapú (euklideszi), sorstandardizált súlymátrixot fogok használni, mert logikusabbnak tűnik az, hogy a távolságoknak nagyobb jelentőségük van, mint az effektív határoknak. Magyarországon rengetegen ingázhatnak napi szinten munkába, és ha így lenne, akkor gyakorta járhatnak szomszédos vagy egyel messzibb járásokba is. Véleményem szerint a távolság, amitől egyes járásokat szomszédosnak lehet tekinteni 30-40 km között lehet, ez körülbelül elképzelhető az ország méretéből és a járások számából, nem is beszélve arról, hogy ez akár mindennapi ingázási távolságnak sem nagy. Ahhoz, hogy meg tudjam állapítani az optimális távolságot, hogy mit tekintek egy járás szomszédjának kellenek az autokorrelációs mutatószámok. Moran I-je és Geary C-je is bevett autokorrelációs mutató, amiket kiszámoltam több vizsgált évben és távolsággal.(Varga, 2002)</w:t>
      </w:r>
    </w:p>
    <w:p>
      <w:pPr>
        <w:pStyle w:val="Normal"/>
        <w:jc w:val="both"/>
        <w:rPr>
          <w:rFonts w:ascii="Times New Roman" w:hAnsi="Times New Roman" w:cs="Times New Roman"/>
          <w:sz w:val="24"/>
          <w:szCs w:val="24"/>
        </w:rPr>
      </w:pPr>
      <w:r>
        <w:rPr>
          <w:rFonts w:cs="Times New Roman" w:ascii="Times New Roman" w:hAnsi="Times New Roman"/>
          <w:sz w:val="24"/>
          <w:szCs w:val="24"/>
        </w:rPr>
        <w:tab/>
        <w:t>Moran I-je a [-1;1] tartományban vehet fel értéket, hasonlóan a Pearson-féle korrelációhoz, minél nagyobb az abszolút távolsága I-nek a nullától annál erősebb az autokorreláció, az előjelek pedig hasonlóan, ha I negatív, akkor negatív irányban van autokorreláció, ha pozitív, akkor pozitív irányban. Moran I-jének képlete, amennyiben sorstandardizált W súlymátrix áll rendelkezésre:</w:t>
      </w:r>
    </w:p>
    <w:p>
      <w:pPr>
        <w:pStyle w:val="Normal"/>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ij</m:t>
                  </m:r>
                </m:sub>
              </m:sSub>
            </m:e>
          </m:nary>
          <m:f>
            <m:num>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μ</m:t>
                  </m:r>
                </m:e>
              </m:d>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r>
                    <w:rPr>
                      <w:rFonts w:ascii="Cambria Math" w:hAnsi="Cambria Math"/>
                    </w:rPr>
                    <m:t xml:space="preserve">μ</m:t>
                  </m:r>
                </m:e>
              </m:d>
            </m:num>
            <m:den>
              <m:sSub>
                <m:e>
                  <m:r>
                    <w:rPr>
                      <w:rFonts w:ascii="Cambria Math" w:hAnsi="Cambria Math"/>
                    </w:rPr>
                    <m:t xml:space="preserve">Σ</m:t>
                  </m:r>
                </m:e>
                <m:sub>
                  <m:r>
                    <w:rPr>
                      <w:rFonts w:ascii="Cambria Math" w:hAnsi="Cambria Math"/>
                    </w:rPr>
                    <m:t xml:space="preserve">i</m:t>
                  </m:r>
                </m:sub>
              </m:sSub>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den>
          </m:f>
        </m:oMath>
      </m:oMathPara>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Geary C-je egy 0 és egy 1-nél nagyobb, nem meghatározott szám között lehet. C értéke 1 alatt pozitív autokorrelációt jelent, míg szignifikánsan felette negatív autokorrelációt jelent. (Varga, 2002)</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Geary C-je az alábbi formulával áll elő:</w:t>
      </w:r>
    </w:p>
    <w:p>
      <w:pPr>
        <w:pStyle w:val="Normal"/>
        <w:ind w:firstLine="72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ary>
                <m:naryPr>
                  <m:chr m:val="∑"/>
                  <m:subHide m:val="1"/>
                  <m:supHide m:val="1"/>
                </m:naryPr>
                <m:sub/>
                <m:sup/>
                <m:e>
                  <m:nary>
                    <m:naryPr>
                      <m:chr m:val="∑"/>
                      <m:subHide m:val="1"/>
                      <m:supHide m:val="1"/>
                    </m:naryPr>
                    <m:sub/>
                    <m:sup/>
                    <m:e>
                      <m:sSub>
                        <m:e>
                          <m:r>
                            <w:rPr>
                              <w:rFonts w:ascii="Cambria Math" w:hAnsi="Cambria Math"/>
                            </w:rPr>
                            <m:t xml:space="preserve">w</m:t>
                          </m:r>
                        </m:e>
                        <m:sub>
                          <m:r>
                            <w:rPr>
                              <w:rFonts w:ascii="Cambria Math" w:hAnsi="Cambria Math"/>
                            </w:rPr>
                            <m:t xml:space="preserve">ij</m:t>
                          </m:r>
                        </m:sub>
                      </m:sSub>
                    </m:e>
                  </m:nary>
                </m:e>
              </m:nary>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S</m:t>
                  </m:r>
                </m:e>
                <m:sub>
                  <m:r>
                    <w:rPr>
                      <w:rFonts w:ascii="Cambria Math" w:hAnsi="Cambria Math"/>
                    </w:rPr>
                    <m:t xml:space="preserve">0</m:t>
                  </m:r>
                </m:sub>
              </m:sSub>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den>
          </m:f>
        </m:oMath>
      </m:oMathPara>
    </w:p>
    <w:p>
      <w:pPr>
        <w:pStyle w:val="Normal"/>
        <w:ind w:firstLine="720"/>
        <w:jc w:val="center"/>
        <w:rPr>
          <w:rFonts w:ascii="Times New Roman" w:hAnsi="Times New Roman" w:cs="Times New Roman"/>
          <w:i/>
          <w:i/>
          <w:iCs/>
          <w:sz w:val="24"/>
          <w:szCs w:val="24"/>
        </w:rPr>
      </w:pPr>
      <w:r>
        <w:drawing>
          <wp:anchor behindDoc="0" distT="0" distB="0" distL="114300" distR="114300" simplePos="0" locked="0" layoutInCell="0" allowOverlap="1" relativeHeight="3">
            <wp:simplePos x="0" y="0"/>
            <wp:positionH relativeFrom="column">
              <wp:posOffset>0</wp:posOffset>
            </wp:positionH>
            <wp:positionV relativeFrom="paragraph">
              <wp:posOffset>261620</wp:posOffset>
            </wp:positionV>
            <wp:extent cx="5734050" cy="3577590"/>
            <wp:effectExtent l="0" t="0" r="0" b="0"/>
            <wp:wrapTopAndBottom/>
            <wp:docPr id="2"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1" descr=""/>
                    <pic:cNvPicPr>
                      <a:picLocks noChangeAspect="1" noChangeArrowheads="1"/>
                    </pic:cNvPicPr>
                  </pic:nvPicPr>
                  <pic:blipFill>
                    <a:blip r:embed="rId3"/>
                    <a:stretch>
                      <a:fillRect/>
                    </a:stretch>
                  </pic:blipFill>
                  <pic:spPr bwMode="auto">
                    <a:xfrm>
                      <a:off x="0" y="0"/>
                      <a:ext cx="5734050" cy="3577590"/>
                    </a:xfrm>
                    <a:prstGeom prst="rect">
                      <a:avLst/>
                    </a:prstGeom>
                  </pic:spPr>
                </pic:pic>
              </a:graphicData>
            </a:graphic>
          </wp:anchor>
        </w:drawing>
      </w:r>
      <w:r>
        <w:rPr>
          <w:rFonts w:cs="Times New Roman" w:ascii="Times New Roman" w:hAnsi="Times New Roman"/>
          <w:i/>
          <w:iCs/>
          <w:sz w:val="24"/>
          <w:szCs w:val="24"/>
        </w:rPr>
        <w:t>2.  ábra: Tízezer főre jutó lakásépítések száma térképen, 2018</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Számításaim során panel adatokkal dolgozom. Ez azt jelenti, hogy a megfigyeléseknek van keresztmetszeti és időbeli dimenziója is, azaz a 175 megfigyelt járásról tíz éven keresztül minden évben nagyrészt van adat. Ezzel a módszerrel nem csupán 175 megfigyelésem van, hanem egyenesen 1750, így a modellek és próbák szabadságfokok nagyobbak lehetnek.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Panel adatoknál felmerül a kiegyensúlyozottság kérdése, ez azt jelenti, hogy minden </w:t>
      </w:r>
      <w:r>
        <w:rPr>
          <w:rFonts w:cs="Times New Roman" w:ascii="Times New Roman" w:hAnsi="Times New Roman"/>
          <w:sz w:val="24"/>
          <w:szCs w:val="24"/>
        </w:rPr>
        <w:t>megfigyelt időpontban</w:t>
      </w:r>
      <w:r>
        <w:rPr>
          <w:rFonts w:cs="Times New Roman" w:ascii="Times New Roman" w:hAnsi="Times New Roman"/>
          <w:sz w:val="24"/>
          <w:szCs w:val="24"/>
        </w:rPr>
        <w:t xml:space="preserve"> van megfigyelés az </w:t>
      </w:r>
      <w:r>
        <w:rPr>
          <w:rFonts w:cs="Times New Roman" w:ascii="Times New Roman" w:hAnsi="Times New Roman"/>
          <w:sz w:val="24"/>
          <w:szCs w:val="24"/>
        </w:rPr>
        <w:t>adott entitásról</w:t>
      </w:r>
      <w:r>
        <w:rPr>
          <w:rFonts w:cs="Times New Roman" w:ascii="Times New Roman" w:hAnsi="Times New Roman"/>
          <w:sz w:val="24"/>
          <w:szCs w:val="24"/>
        </w:rPr>
        <w:t xml:space="preserve">. Azonban az adataim között vannak hiányzó értékek, szám szerint 21 </w:t>
      </w:r>
      <w:r>
        <w:rPr>
          <w:rFonts w:cs="Times New Roman" w:ascii="Times New Roman" w:hAnsi="Times New Roman"/>
          <w:sz w:val="24"/>
          <w:szCs w:val="24"/>
        </w:rPr>
        <w:t xml:space="preserve">darab </w:t>
      </w:r>
      <w:r>
        <w:rPr>
          <w:rFonts w:cs="Times New Roman" w:ascii="Times New Roman" w:hAnsi="Times New Roman"/>
          <w:sz w:val="24"/>
          <w:szCs w:val="24"/>
        </w:rPr>
        <w:t xml:space="preserve">adat a 2019-2021 közötti időszakban. Ennek orvoslására egy </w:t>
      </w:r>
      <w:r>
        <w:rPr>
          <w:rFonts w:cs="Times New Roman" w:ascii="Times New Roman" w:hAnsi="Times New Roman"/>
          <w:sz w:val="24"/>
          <w:szCs w:val="24"/>
        </w:rPr>
        <w:t>G</w:t>
      </w:r>
      <w:r>
        <w:rPr>
          <w:rFonts w:cs="Times New Roman" w:ascii="Times New Roman" w:hAnsi="Times New Roman"/>
          <w:sz w:val="24"/>
          <w:szCs w:val="24"/>
        </w:rPr>
        <w:t xml:space="preserve">eneralizált </w:t>
      </w:r>
      <w:r>
        <w:rPr>
          <w:rFonts w:cs="Times New Roman" w:ascii="Times New Roman" w:hAnsi="Times New Roman"/>
          <w:sz w:val="24"/>
          <w:szCs w:val="24"/>
        </w:rPr>
        <w:t>A</w:t>
      </w:r>
      <w:r>
        <w:rPr>
          <w:rFonts w:cs="Times New Roman" w:ascii="Times New Roman" w:hAnsi="Times New Roman"/>
          <w:sz w:val="24"/>
          <w:szCs w:val="24"/>
        </w:rPr>
        <w:t xml:space="preserve">dditív </w:t>
      </w:r>
      <w:r>
        <w:rPr>
          <w:rFonts w:cs="Times New Roman" w:ascii="Times New Roman" w:hAnsi="Times New Roman"/>
          <w:sz w:val="24"/>
          <w:szCs w:val="24"/>
        </w:rPr>
        <w:t>M</w:t>
      </w:r>
      <w:r>
        <w:rPr>
          <w:rFonts w:cs="Times New Roman" w:ascii="Times New Roman" w:hAnsi="Times New Roman"/>
          <w:sz w:val="24"/>
          <w:szCs w:val="24"/>
        </w:rPr>
        <w:t xml:space="preserve">odellel (továbbiakban GAM) becslem meg a hiányzó adatokat. A modellben a lakásépítések számát egyedül az járás koordinátái (hosszúság, szélesség) és az adott évvel való interakciójuk alapján </w:t>
      </w:r>
      <w:r>
        <w:rPr>
          <w:rFonts w:cs="Times New Roman" w:ascii="Times New Roman" w:hAnsi="Times New Roman"/>
          <w:sz w:val="24"/>
          <w:szCs w:val="24"/>
        </w:rPr>
        <w:t xml:space="preserve">becslem meg és </w:t>
      </w:r>
      <w:r>
        <w:rPr>
          <w:rFonts w:cs="Times New Roman" w:ascii="Times New Roman" w:hAnsi="Times New Roman"/>
          <w:sz w:val="24"/>
          <w:szCs w:val="24"/>
        </w:rPr>
        <w:t xml:space="preserve">pótlom ki a </w:t>
      </w:r>
      <w:r>
        <w:rPr>
          <w:rFonts w:cs="Times New Roman" w:ascii="Times New Roman" w:hAnsi="Times New Roman"/>
          <w:sz w:val="24"/>
          <w:szCs w:val="24"/>
        </w:rPr>
        <w:t xml:space="preserve">hiányzó </w:t>
      </w:r>
      <w:r>
        <w:rPr>
          <w:rFonts w:cs="Times New Roman" w:ascii="Times New Roman" w:hAnsi="Times New Roman"/>
          <w:sz w:val="24"/>
          <w:szCs w:val="24"/>
        </w:rPr>
        <w:t xml:space="preserve"> adatokat. A GAM modell egy olyan generalizált lineáris modell, amely </w:t>
      </w:r>
      <w:r>
        <w:rPr>
          <w:rFonts w:cs="Times New Roman" w:ascii="Times New Roman" w:hAnsi="Times New Roman"/>
          <w:sz w:val="24"/>
          <w:szCs w:val="24"/>
        </w:rPr>
        <w:t xml:space="preserve">bizonyos base-spline függvényekből tevődik össze szakaszosan. </w:t>
      </w:r>
      <w:r>
        <w:rPr>
          <w:rFonts w:cs="Times New Roman" w:ascii="Times New Roman" w:hAnsi="Times New Roman"/>
          <w:sz w:val="24"/>
          <w:szCs w:val="24"/>
        </w:rPr>
        <w:t xml:space="preserve">Így a modell fel tud venni olyan, nemlineáris formát is, amiben inflexiós pontok vannak. </w:t>
      </w:r>
      <w:r>
        <w:rPr>
          <w:rFonts w:cs="Times New Roman" w:ascii="Times New Roman" w:hAnsi="Times New Roman"/>
          <w:sz w:val="24"/>
          <w:szCs w:val="24"/>
        </w:rPr>
        <w:t>A b-splineok</w:t>
      </w:r>
      <w:r>
        <w:rPr>
          <w:rFonts w:cs="Times New Roman" w:ascii="Times New Roman" w:hAnsi="Times New Roman"/>
          <w:sz w:val="24"/>
          <w:szCs w:val="24"/>
        </w:rPr>
        <w:t xml:space="preserve">, lényegében polinomiális függvények, amik </w:t>
      </w:r>
      <w:r>
        <w:rPr>
          <w:rFonts w:cs="Times New Roman" w:ascii="Times New Roman" w:hAnsi="Times New Roman"/>
          <w:sz w:val="24"/>
          <w:szCs w:val="24"/>
        </w:rPr>
        <w:t xml:space="preserve">egyenként </w:t>
      </w:r>
      <w:r>
        <w:rPr>
          <w:rFonts w:cs="Times New Roman" w:ascii="Times New Roman" w:hAnsi="Times New Roman"/>
          <w:sz w:val="24"/>
          <w:szCs w:val="24"/>
        </w:rPr>
        <w:t xml:space="preserve">egy kis területet fednek le, </w:t>
      </w:r>
      <w:r>
        <w:rPr>
          <w:rFonts w:cs="Times New Roman" w:ascii="Times New Roman" w:hAnsi="Times New Roman"/>
          <w:sz w:val="24"/>
          <w:szCs w:val="24"/>
        </w:rPr>
        <w:t>így ezek sokaságából összeáll egy nagyobb tartomány</w:t>
      </w:r>
      <w:r>
        <w:rPr>
          <w:rFonts w:cs="Times New Roman" w:ascii="Times New Roman" w:hAnsi="Times New Roman"/>
          <w:sz w:val="24"/>
          <w:szCs w:val="24"/>
        </w:rPr>
        <w:t xml:space="preserve">. Ezek a </w:t>
      </w:r>
      <w:r>
        <w:rPr>
          <w:rFonts w:cs="Times New Roman" w:ascii="Times New Roman" w:hAnsi="Times New Roman"/>
          <w:i w:val="false"/>
          <w:iCs w:val="false"/>
          <w:sz w:val="24"/>
          <w:szCs w:val="24"/>
        </w:rPr>
        <w:t>b-splineok</w:t>
      </w:r>
      <w:r>
        <w:rPr>
          <w:rFonts w:cs="Times New Roman" w:ascii="Times New Roman" w:hAnsi="Times New Roman"/>
          <w:sz w:val="24"/>
          <w:szCs w:val="24"/>
        </w:rPr>
        <w:t xml:space="preserve"> teszik lehetővé, hogy a modell térben ne egy sík legyen, hanem egy olyan felszín, melyen vannak kiemelkedések és süllyedések. (Wood, 2003) (Hastie-Tibshirani,1990)</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GAM általános egyenlete:</w:t>
      </w:r>
    </w:p>
    <w:p>
      <w:pPr>
        <w:pStyle w:val="Normal"/>
        <w:ind w:firstLine="720"/>
        <w:jc w:val="cente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E</m:t>
            </m:r>
            <m:d>
              <m:dPr>
                <m:begChr m:val="["/>
                <m:endChr m:val="]"/>
              </m:dPr>
              <m:e>
                <m:r>
                  <w:rPr>
                    <w:rFonts w:ascii="Cambria Math" w:hAnsi="Cambria Math"/>
                  </w:rPr>
                  <m:t xml:space="preserve">Y</m:t>
                </m:r>
              </m:e>
            </m:d>
          </m:e>
        </m:d>
        <m:r>
          <w:rPr>
            <w:rFonts w:ascii="Cambria Math" w:hAnsi="Cambria Math"/>
          </w:rPr>
          <m:t xml:space="preserve">=</m:t>
        </m:r>
        <m:r>
          <w:rPr>
            <w:rFonts w:ascii="Cambria Math" w:hAnsi="Cambria Math"/>
          </w:rPr>
          <m:t xml:space="preserve">Ɛ</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f</m:t>
                </m:r>
              </m:e>
              <m:sub>
                <m:r>
                  <w:rPr>
                    <w:rFonts w:ascii="Cambria Math" w:hAnsi="Cambria Math"/>
                  </w:rPr>
                  <m:t xml:space="preserve">j</m:t>
                </m:r>
              </m:sub>
            </m:sSub>
          </m:e>
        </m:nary>
        <m:d>
          <m:dPr>
            <m:begChr m:val="("/>
            <m:endChr m:val=")"/>
          </m:dPr>
          <m:e>
            <m:sSub>
              <m:e>
                <m:r>
                  <w:rPr>
                    <w:rFonts w:ascii="Cambria Math" w:hAnsi="Cambria Math"/>
                  </w:rPr>
                  <m:t xml:space="preserve">X</m:t>
                </m:r>
              </m:e>
              <m:sub>
                <m:r>
                  <w:rPr>
                    <w:rFonts w:ascii="Cambria Math" w:hAnsi="Cambria Math"/>
                  </w:rPr>
                  <m:t xml:space="preserve">j</m:t>
                </m:r>
              </m:sub>
            </m:sSub>
          </m:e>
        </m:d>
      </m:oMath>
      <w:r>
        <w:rPr>
          <w:rFonts w:cs="Times New Roman" w:ascii="Times New Roman" w:hAnsi="Times New Roman"/>
          <w:sz w:val="24"/>
          <w:szCs w:val="24"/>
        </w:rPr>
        <w:t>,</w:t>
      </w:r>
    </w:p>
    <w:p>
      <w:pPr>
        <w:pStyle w:val="Normal"/>
        <w:numPr>
          <w:ilvl w:val="0"/>
          <w:numId w:val="2"/>
        </w:numPr>
        <w:jc w:val="both"/>
        <w:rPr/>
      </w:pPr>
      <w:r>
        <w:rPr>
          <w:rFonts w:cs="Times New Roman" w:ascii="Times New Roman" w:hAnsi="Times New Roman"/>
          <w:sz w:val="24"/>
          <w:szCs w:val="24"/>
        </w:rPr>
        <w:t>Ahol Y egy olyan vektor, aminek a elemei egy exponenciális eloszláscsaládból származó valószínűségi változó megfigyelt értékei, E[Y] pedig Y várható értéke</w:t>
      </w:r>
    </w:p>
    <w:p>
      <w:pPr>
        <w:pStyle w:val="Normal"/>
        <w:numPr>
          <w:ilvl w:val="0"/>
          <w:numId w:val="2"/>
        </w:numPr>
        <w:jc w:val="both"/>
        <w:rPr/>
      </w:pPr>
      <w:r>
        <w:rPr>
          <w:rFonts w:cs="Times New Roman" w:ascii="Times New Roman" w:hAnsi="Times New Roman"/>
          <w:sz w:val="24"/>
          <w:szCs w:val="24"/>
        </w:rPr>
        <w:t>h(</w:t>
      </w:r>
      <w:r>
        <w:rPr>
          <w:rFonts w:eastAsia="Arial" w:cs="Times New Roman" w:ascii="DejaVu Sans" w:hAnsi="DejaVu Sans"/>
          <w:sz w:val="24"/>
          <w:szCs w:val="24"/>
        </w:rPr>
        <w:t>·</w:t>
      </w:r>
      <w:r>
        <w:rPr>
          <w:rFonts w:cs="Times New Roman" w:ascii="Times New Roman" w:hAnsi="Times New Roman"/>
          <w:sz w:val="24"/>
          <w:szCs w:val="24"/>
        </w:rPr>
        <w:t>) a GAM link függvénye</w:t>
      </w:r>
    </w:p>
    <w:p>
      <w:pPr>
        <w:pStyle w:val="Normal"/>
        <w:numPr>
          <w:ilvl w:val="0"/>
          <w:numId w:val="2"/>
        </w:numPr>
        <w:jc w:val="both"/>
        <w:rPr/>
      </w:pPr>
      <w:hyperlink r:id="rId4">
        <w:r>
          <w:rPr>
            <w:rFonts w:cs="Times New Roman" w:ascii="Times New Roman" w:hAnsi="Times New Roman"/>
            <w:sz w:val="24"/>
            <w:szCs w:val="24"/>
          </w:rPr>
          <w:t>Ɛ a modell hibavektora</w:t>
        </w:r>
      </w:hyperlink>
    </w:p>
    <w:p>
      <w:pPr>
        <w:pStyle w:val="Normal"/>
        <w:numPr>
          <w:ilvl w:val="0"/>
          <w:numId w:val="2"/>
        </w:numPr>
        <w:jc w:val="both"/>
        <w:rPr/>
      </w:pPr>
      <w:r>
        <w:rPr>
          <w:rFonts w:cs="Times New Roman" w:ascii="Times New Roman" w:hAnsi="Times New Roman"/>
          <w:sz w:val="24"/>
          <w:szCs w:val="24"/>
        </w:rPr>
        <w:t>X</w:t>
      </w:r>
      <w:r>
        <w:rPr>
          <w:rFonts w:cs="Times New Roman" w:ascii="Times New Roman" w:hAnsi="Times New Roman"/>
          <w:sz w:val="24"/>
          <w:szCs w:val="24"/>
          <w:vertAlign w:val="subscript"/>
        </w:rPr>
        <w:t>j</w:t>
      </w:r>
      <w:r>
        <w:rPr>
          <w:rFonts w:cs="Times New Roman" w:ascii="Times New Roman" w:hAnsi="Times New Roman"/>
          <w:sz w:val="24"/>
          <w:szCs w:val="24"/>
        </w:rPr>
        <w:t xml:space="preserve"> a </w:t>
      </w:r>
      <w:r>
        <w:rPr>
          <w:rFonts w:cs="Times New Roman" w:ascii="Times New Roman" w:hAnsi="Times New Roman"/>
          <w:i/>
          <w:iCs/>
          <w:sz w:val="24"/>
          <w:szCs w:val="24"/>
        </w:rPr>
        <w:t xml:space="preserve">p </w:t>
      </w:r>
      <w:r>
        <w:rPr>
          <w:rFonts w:cs="Times New Roman" w:ascii="Times New Roman" w:hAnsi="Times New Roman"/>
          <w:i w:val="false"/>
          <w:iCs w:val="false"/>
          <w:sz w:val="24"/>
          <w:szCs w:val="24"/>
        </w:rPr>
        <w:t xml:space="preserve"> darab megfigyelt magyarázó változó értékei</w:t>
      </w:r>
    </w:p>
    <w:p>
      <w:pPr>
        <w:pStyle w:val="Normal"/>
        <w:numPr>
          <w:ilvl w:val="0"/>
          <w:numId w:val="2"/>
        </w:numPr>
        <w:jc w:val="both"/>
        <w:rPr/>
      </w:pPr>
      <w:r>
        <w:rPr>
          <w:rFonts w:cs="Times New Roman" w:ascii="Times New Roman" w:hAnsi="Times New Roman"/>
          <w:sz w:val="24"/>
          <w:szCs w:val="24"/>
        </w:rPr>
        <w:t>f</w:t>
      </w:r>
      <w:r>
        <w:rPr>
          <w:rFonts w:cs="Times New Roman" w:ascii="Times New Roman" w:hAnsi="Times New Roman"/>
          <w:b w:val="false"/>
          <w:bCs w:val="false"/>
          <w:sz w:val="24"/>
          <w:szCs w:val="24"/>
          <w:vertAlign w:val="subscript"/>
        </w:rPr>
        <w:t>j</w:t>
      </w:r>
      <w:r>
        <w:rPr>
          <w:rFonts w:cs="Times New Roman" w:ascii="Times New Roman" w:hAnsi="Times New Roman"/>
          <w:sz w:val="24"/>
          <w:szCs w:val="24"/>
        </w:rPr>
        <w:t>(</w:t>
      </w:r>
      <w:r>
        <w:rPr>
          <w:rFonts w:eastAsia="Arial" w:cs="Times New Roman" w:ascii="DejaVu Sans" w:hAnsi="DejaVu Sans"/>
          <w:sz w:val="24"/>
          <w:szCs w:val="24"/>
        </w:rPr>
        <w:t>·</w:t>
      </w:r>
      <w:r>
        <w:rPr>
          <w:rFonts w:cs="Times New Roman" w:ascii="Times New Roman" w:hAnsi="Times New Roman"/>
          <w:sz w:val="24"/>
          <w:szCs w:val="24"/>
        </w:rPr>
        <w:t>) a j-edik magyarázó változóhoz tartozó transzformációs függvény</w:t>
      </w:r>
    </w:p>
    <w:p>
      <w:pPr>
        <w:pStyle w:val="Normal"/>
        <w:numPr>
          <w:ilvl w:val="0"/>
          <w:numId w:val="0"/>
        </w:numPr>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Mivel egyedül azért használtam a GAM modellt, hogy a hiányzó adatokat pótoljam, ezért nem tartom szükségszerűnek a modell további bemutatását. A kipótolt adatokkal azonban már kiegyensúlyozottnak tekinthető a paneladattáblánk, mivel minden megfigyelt egyedhez tartozik megfigyelés minden releváns időszakban, így 197 járás 10 évre visszamenőleg 1970 db adatpontot jelent.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paneladatok elemzése többféle módon is történhet, gyakran használnak </w:t>
      </w:r>
      <w:r>
        <w:rPr>
          <w:rFonts w:cs="Times New Roman" w:ascii="Times New Roman" w:hAnsi="Times New Roman"/>
          <w:i/>
          <w:sz w:val="24"/>
          <w:szCs w:val="24"/>
        </w:rPr>
        <w:t>Pooled OLS</w:t>
      </w:r>
      <w:r>
        <w:rPr>
          <w:rFonts w:cs="Times New Roman" w:ascii="Times New Roman" w:hAnsi="Times New Roman"/>
          <w:sz w:val="24"/>
          <w:szCs w:val="24"/>
        </w:rPr>
        <w:t xml:space="preserve">, </w:t>
      </w:r>
      <w:r>
        <w:rPr>
          <w:rFonts w:cs="Times New Roman" w:ascii="Times New Roman" w:hAnsi="Times New Roman"/>
          <w:i/>
          <w:sz w:val="24"/>
          <w:szCs w:val="24"/>
        </w:rPr>
        <w:t xml:space="preserve">fix hatású </w:t>
      </w:r>
      <w:r>
        <w:rPr>
          <w:rFonts w:cs="Times New Roman" w:ascii="Times New Roman" w:hAnsi="Times New Roman"/>
          <w:sz w:val="24"/>
          <w:szCs w:val="24"/>
        </w:rPr>
        <w:t>és</w:t>
      </w:r>
      <w:r>
        <w:rPr>
          <w:rFonts w:cs="Times New Roman" w:ascii="Times New Roman" w:hAnsi="Times New Roman"/>
          <w:i/>
          <w:sz w:val="24"/>
          <w:szCs w:val="24"/>
        </w:rPr>
        <w:t xml:space="preserve"> random hatású</w:t>
      </w:r>
      <w:r>
        <w:rPr>
          <w:rFonts w:cs="Times New Roman" w:ascii="Times New Roman" w:hAnsi="Times New Roman"/>
          <w:sz w:val="24"/>
          <w:szCs w:val="24"/>
        </w:rPr>
        <w:t xml:space="preserve"> modelleket. A </w:t>
      </w:r>
      <w:r>
        <w:rPr>
          <w:rFonts w:cs="Times New Roman" w:ascii="Times New Roman" w:hAnsi="Times New Roman"/>
          <w:i/>
          <w:sz w:val="24"/>
          <w:szCs w:val="24"/>
        </w:rPr>
        <w:t>Pooled OLS</w:t>
      </w:r>
      <w:r>
        <w:rPr>
          <w:rFonts w:cs="Times New Roman" w:ascii="Times New Roman" w:hAnsi="Times New Roman"/>
          <w:sz w:val="24"/>
          <w:szCs w:val="24"/>
        </w:rPr>
        <w:t xml:space="preserve"> egy olyan OLS becslés, amiben összeöntve vannak az adatok. </w:t>
      </w:r>
      <w:r>
        <w:rPr>
          <w:rFonts w:cs="Times New Roman" w:ascii="Times New Roman" w:hAnsi="Times New Roman"/>
          <w:sz w:val="24"/>
          <w:szCs w:val="24"/>
        </w:rPr>
        <w:t>Ekkor minden t időpontban ugyan az a modell érvényes.</w:t>
      </w:r>
      <w:r>
        <w:rPr>
          <w:rFonts w:cs="Times New Roman" w:ascii="Times New Roman" w:hAnsi="Times New Roman"/>
          <w:sz w:val="24"/>
          <w:szCs w:val="24"/>
        </w:rPr>
        <w:t xml:space="preserve"> A </w:t>
      </w:r>
      <w:r>
        <w:rPr>
          <w:rFonts w:cs="Times New Roman" w:ascii="Times New Roman" w:hAnsi="Times New Roman"/>
          <w:i/>
          <w:sz w:val="24"/>
          <w:szCs w:val="24"/>
        </w:rPr>
        <w:t>fix hatású</w:t>
      </w:r>
      <w:r>
        <w:rPr>
          <w:rFonts w:cs="Times New Roman" w:ascii="Times New Roman" w:hAnsi="Times New Roman"/>
          <w:sz w:val="24"/>
          <w:szCs w:val="24"/>
        </w:rPr>
        <w:t xml:space="preserve"> modellben van egyedhatás, vagyis a megfigyelt egyedeknek van egy egyed-specifikus alap konstans hatása. A </w:t>
      </w:r>
      <w:r>
        <w:rPr>
          <w:rFonts w:cs="Times New Roman" w:ascii="Times New Roman" w:hAnsi="Times New Roman"/>
          <w:i/>
          <w:sz w:val="24"/>
          <w:szCs w:val="24"/>
        </w:rPr>
        <w:t>random effect</w:t>
      </w:r>
      <w:r>
        <w:rPr>
          <w:rFonts w:cs="Times New Roman" w:ascii="Times New Roman" w:hAnsi="Times New Roman"/>
          <w:sz w:val="24"/>
          <w:szCs w:val="24"/>
        </w:rPr>
        <w:t xml:space="preserve"> modellek </w:t>
      </w:r>
      <w:r>
        <w:rPr>
          <w:rFonts w:cs="Times New Roman" w:ascii="Times New Roman" w:hAnsi="Times New Roman"/>
          <w:sz w:val="24"/>
          <w:szCs w:val="24"/>
        </w:rPr>
        <w:t xml:space="preserve">abban különböznek a </w:t>
      </w:r>
      <w:r>
        <w:rPr>
          <w:rFonts w:cs="Times New Roman" w:ascii="Times New Roman" w:hAnsi="Times New Roman"/>
          <w:i/>
          <w:iCs/>
          <w:sz w:val="24"/>
          <w:szCs w:val="24"/>
        </w:rPr>
        <w:t>fix hatasú</w:t>
      </w:r>
      <w:r>
        <w:rPr>
          <w:rFonts w:cs="Times New Roman" w:ascii="Times New Roman" w:hAnsi="Times New Roman"/>
          <w:i w:val="false"/>
          <w:iCs w:val="false"/>
          <w:sz w:val="24"/>
          <w:szCs w:val="24"/>
        </w:rPr>
        <w:t xml:space="preserve"> modellektől, hogy az egyéni konstansokat egy normális eloszlású valószínúségi változó megvalósult értékeinek tekintjük</w:t>
      </w:r>
      <w:r>
        <w:rPr>
          <w:rFonts w:cs="Times New Roman" w:ascii="Times New Roman" w:hAnsi="Times New Roman"/>
          <w:sz w:val="24"/>
          <w:szCs w:val="24"/>
        </w:rPr>
        <w: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Ahhoz, hogy tudjam melyik modell válasszam, két tesztet is el fogok végezni, a Hausman-teszt, ami a </w:t>
      </w:r>
      <w:r>
        <w:rPr>
          <w:rFonts w:cs="Times New Roman" w:ascii="Times New Roman" w:hAnsi="Times New Roman"/>
          <w:i/>
          <w:sz w:val="24"/>
          <w:szCs w:val="24"/>
        </w:rPr>
        <w:t>fix</w:t>
      </w:r>
      <w:r>
        <w:rPr>
          <w:rFonts w:cs="Times New Roman" w:ascii="Times New Roman" w:hAnsi="Times New Roman"/>
          <w:sz w:val="24"/>
          <w:szCs w:val="24"/>
        </w:rPr>
        <w:t xml:space="preserve"> és </w:t>
      </w:r>
      <w:r>
        <w:rPr>
          <w:rFonts w:cs="Times New Roman" w:ascii="Times New Roman" w:hAnsi="Times New Roman"/>
          <w:i/>
          <w:sz w:val="24"/>
          <w:szCs w:val="24"/>
        </w:rPr>
        <w:t>random</w:t>
      </w:r>
      <w:r>
        <w:rPr>
          <w:rFonts w:cs="Times New Roman" w:ascii="Times New Roman" w:hAnsi="Times New Roman"/>
          <w:sz w:val="24"/>
          <w:szCs w:val="24"/>
        </w:rPr>
        <w:t xml:space="preserve"> </w:t>
      </w:r>
      <w:r>
        <w:rPr>
          <w:rFonts w:cs="Times New Roman" w:ascii="Times New Roman" w:hAnsi="Times New Roman"/>
          <w:i/>
          <w:sz w:val="24"/>
          <w:szCs w:val="24"/>
        </w:rPr>
        <w:t>hatású</w:t>
      </w:r>
      <w:r>
        <w:rPr>
          <w:rFonts w:cs="Times New Roman" w:ascii="Times New Roman" w:hAnsi="Times New Roman"/>
          <w:sz w:val="24"/>
          <w:szCs w:val="24"/>
        </w:rPr>
        <w:t xml:space="preserve"> modell között segít, valamint egy F teszt a </w:t>
      </w:r>
      <w:r>
        <w:rPr>
          <w:rFonts w:cs="Times New Roman" w:ascii="Times New Roman" w:hAnsi="Times New Roman"/>
          <w:i/>
          <w:sz w:val="24"/>
          <w:szCs w:val="24"/>
        </w:rPr>
        <w:t xml:space="preserve">Pooled OLS </w:t>
      </w:r>
      <w:r>
        <w:rPr>
          <w:rFonts w:cs="Times New Roman" w:ascii="Times New Roman" w:hAnsi="Times New Roman"/>
          <w:sz w:val="24"/>
          <w:szCs w:val="24"/>
        </w:rPr>
        <w:t xml:space="preserve">és a </w:t>
      </w:r>
      <w:r>
        <w:rPr>
          <w:rFonts w:cs="Times New Roman" w:ascii="Times New Roman" w:hAnsi="Times New Roman"/>
          <w:i/>
          <w:sz w:val="24"/>
          <w:szCs w:val="24"/>
        </w:rPr>
        <w:t xml:space="preserve">fix hatású </w:t>
      </w:r>
      <w:r>
        <w:rPr>
          <w:rFonts w:cs="Times New Roman" w:ascii="Times New Roman" w:hAnsi="Times New Roman"/>
          <w:sz w:val="24"/>
          <w:szCs w:val="24"/>
        </w:rPr>
        <w:t>modell között segít dönteni. (Wooldridge, 2010)</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CSOK modellbe illesztésénél felmerül az a probléma, hogy a vizsgált időszak első négy évében végig nullának vettem a CSOK keresési trendjét), mert 2016 januárjában hozták meg a kormányrendeletet a CSOK-ról (a 2016-2021-es időszakban minden adat nagyobb volt nullánál). Ez esetben úgy gondolom érdemes lehet nem számként, hanem felbontani az egyes kvantilisek mentén és a nulla értékek egy új “nincs” nevű kategóriát kapnának, mert akkor lényegében nem volt CSOK. A modellszelekció során megpróbálom meghatározni az optimális CSOK használatot, ám mivel szakdolgozatomban azt igyekszem kideríteni, hogy szignifikáns változó-e a “CSOK” szó Google keresési trendje, ezért akár az is lehet, hogy egyáltalán nem szignifikáns semmilyen formában.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modell illesztésénél felmerült az a probélma is, hogy egyes változók korrelálnak egymással. A panelmodellek után így készítettem </w:t>
      </w:r>
      <w:r>
        <w:rPr>
          <w:rFonts w:cs="Times New Roman" w:ascii="Times New Roman" w:hAnsi="Times New Roman"/>
          <w:i/>
          <w:iCs/>
          <w:sz w:val="24"/>
          <w:szCs w:val="24"/>
        </w:rPr>
        <w:t>Structured Equation Modell</w:t>
      </w:r>
      <w:r>
        <w:rPr>
          <w:rFonts w:cs="Times New Roman" w:ascii="Times New Roman" w:hAnsi="Times New Roman"/>
          <w:sz w:val="24"/>
          <w:szCs w:val="24"/>
        </w:rPr>
        <w:t xml:space="preserve">-eket (továbbiakban SEM). Ezek a modellek egyenletrendszereket hoznak létre, így jobban vizualizálhatóak a kapcsolatok az egyes változók között amellett, hogy a esetleges mediáló és moderáló hatásokat is ily módon kezelheti, éppen az egyenletrendszer mivolta miatt. A modellben létre lehet hozni látensváltozókat, így megfigyelt változókból egy kvázi főkomponenst lehet létrehozni, ami ez esetben az egészségügyi fejlettségét jelenti a járásoknak. A megfigyelt változók közötti kapcsolatot is bele lehet építeni a modellbe, hogy a mediáló hatásokat is be lehessen építeni. Három, különböző időszakra illesztettem SEM modellt: egy, a CSOK előtti évben, a CSOK kezdetén, illetve a CSOK csúcsán, de a COVID időszak előtt. </w:t>
      </w:r>
      <w:r>
        <w:rPr>
          <w:rFonts w:cs="Times New Roman" w:ascii="Times New Roman" w:hAnsi="Times New Roman"/>
          <w:b w:val="false"/>
          <w:bCs w:val="false"/>
          <w:sz w:val="24"/>
          <w:szCs w:val="24"/>
          <w:shd w:fill="FFFF00" w:val="clear"/>
        </w:rPr>
        <w:t>&gt;Ide még kell hivatkozás SEMről</w:t>
      </w:r>
    </w:p>
    <w:p>
      <w:pPr>
        <w:pStyle w:val="Cmsor2"/>
        <w:spacing w:lineRule="auto" w:line="276"/>
        <w:rPr>
          <w:rFonts w:ascii="Times New Roman" w:hAnsi="Times New Roman" w:cs="Times New Roman"/>
        </w:rPr>
      </w:pPr>
      <w:bookmarkStart w:id="2" w:name="_Toc136700572"/>
      <w:r>
        <w:rPr>
          <w:rFonts w:cs="Times New Roman" w:ascii="Times New Roman" w:hAnsi="Times New Roman"/>
        </w:rPr>
        <w:t>Eredmények</w:t>
      </w:r>
      <w:bookmarkEnd w:id="2"/>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Érdemes lehet a korrelációk alapján megnézni, hogy milyen mértékben és irányban mozognak együtt a változók. Az eredményváltozó és mind az SZJA, mind a munka változók között pozitív, közepes kapcsolat áll fenn. a beruházás, valamint a CSOK (számként) korrelációja a lakásépítéssel gyenge, pozitív irányú.</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GAM modell egyedül az adatok pótlására szolgált, így azon nem végeztem teszteket, sem modellszelekciót, így nem tartom szükségesnek tárgyalni a modell együtthatóinak értékeit és egyéb jellemzőket.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Miután a hiányzó értékeket megbecsültem a GAM modellel, az eredeti értékeket felhasználva meg kellett állapítanom, hogy van-e területi autokorreláció és mekkora távolságban határozzam meg a szomszédságot.</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2.táblázat: térbeli autokorreláció a lakásépítések körében</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289"/>
        <w:gridCol w:w="1290"/>
        <w:gridCol w:w="1289"/>
        <w:gridCol w:w="1"/>
        <w:gridCol w:w="1290"/>
        <w:gridCol w:w="1291"/>
        <w:gridCol w:w="1289"/>
        <w:gridCol w:w="1289"/>
      </w:tblGrid>
      <w:tr>
        <w:trPr>
          <w:trHeight w:val="440" w:hRule="atLeast"/>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25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32 km</w:t>
            </w:r>
          </w:p>
        </w:tc>
        <w:tc>
          <w:tcPr>
            <w:tcW w:w="2582"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36 km</w:t>
            </w:r>
          </w:p>
        </w:tc>
        <w:tc>
          <w:tcPr>
            <w:tcW w:w="2578"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40 km</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2016</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0,237</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0,709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0,295</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0,683</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0,247</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0,731</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2017</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0,188</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0,729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0,280</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0,652</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0,249</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0,698</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2018</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0,361</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0,633</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0,381</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0,605</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0,351</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0,637</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0,392</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0,593</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0,412</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0,560</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0,367</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0,630</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2020</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0,300</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0,679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0,319</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0,642</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0,290</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0,701</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sz w:val="24"/>
          <w:szCs w:val="24"/>
        </w:rPr>
        <w:t>2. táblában</w:t>
      </w:r>
      <w:r>
        <w:rPr>
          <w:rFonts w:cs="Times New Roman" w:ascii="Times New Roman" w:hAnsi="Times New Roman"/>
          <w:sz w:val="24"/>
          <w:szCs w:val="24"/>
        </w:rPr>
        <w:t xml:space="preserve"> minden évben látszik, hogy az I értéke a 36 kilométeres sugarú körben vett inverz, sorstandardizált súlymátrix esetében a legnagyobb. Ez nem csak azt jelenti, hogy van pozitív területi autokorreláció, hanem azt is, hogy az autokorreláció szempontjából legjobb, ha 36 kilométeres sugárban tekinthetők szomszédosnak a járások. Ahogy Moran I-jénél, úgy a C-nél is a legnagyobb pozitív autokorreláció a 36 kilométeres sugárban van minden évben. Ezek alapján a modellemben az autokorreláció kezelésére az optimális inverz távolságalapú súlymátrix 36 km-es sugárban tekinti szomszédoknak a járásokat. Ez a távolság az ország méreteihez és a járások számához képest teljesen elképzelhetőnek tűnik.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Térbeli autokorreláció tehát van, mégpedig pozitív irányban. A panel modellekben súlyként a megállapított 36 km-es szomszédsággal meghatározott sorstandarizált inverz távolságmátrixot fogom használni, hogy a területi autokorrelációt kiszedjem a modellből, de még el kell döntenem, hogy milyen típusú panelmodellt használjak a pótolt adatokra.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tesztek során 5%-os szignifikancia szinten fogok döntést hozni. A Hausman-teszt nullhipotézise szerint a </w:t>
      </w:r>
      <w:r>
        <w:rPr>
          <w:rFonts w:cs="Times New Roman" w:ascii="Times New Roman" w:hAnsi="Times New Roman"/>
          <w:i/>
          <w:iCs/>
          <w:sz w:val="24"/>
          <w:szCs w:val="24"/>
        </w:rPr>
        <w:t>random modell</w:t>
      </w:r>
      <w:r>
        <w:rPr>
          <w:rFonts w:cs="Times New Roman" w:ascii="Times New Roman" w:hAnsi="Times New Roman"/>
          <w:sz w:val="24"/>
          <w:szCs w:val="24"/>
        </w:rPr>
        <w:t xml:space="preserve"> a megfelelő, alternatív hipotézis pedig az, hogy a </w:t>
      </w:r>
      <w:r>
        <w:rPr>
          <w:rFonts w:cs="Times New Roman" w:ascii="Times New Roman" w:hAnsi="Times New Roman"/>
          <w:i/>
          <w:iCs/>
          <w:sz w:val="24"/>
          <w:szCs w:val="24"/>
        </w:rPr>
        <w:t>fix hatású modell</w:t>
      </w:r>
      <w:r>
        <w:rPr>
          <w:rFonts w:cs="Times New Roman" w:ascii="Times New Roman" w:hAnsi="Times New Roman"/>
          <w:sz w:val="24"/>
          <w:szCs w:val="24"/>
        </w:rPr>
        <w:t xml:space="preserve"> a megfelelő. A tesztben az eredményváltozó a lakásépítés és a magyarázó változók a foglalkoztatottsági ráta, egy állandó lakosra jutó SZJA alapot képező jövedelem, a foglalkoztatottsági ráta, beruházási teljesítményérték egy lakosra vetítve és legvégül a “CSOK” szó keresési trendje Google-n. A CSOK trendet többféle módon fogom próbálni a modellbe illeszteni, itt három részre bontva, minőségi változóként kezeltem, aminek a szintjei a “nincs”, vagyis még nem vezették be a CSOK-ot, majd a bevezetés után a mediánnál elvágva alacsony és magas érdeklődésre bontottam. A Hausman-teszt p-értéke 2,2</w:t>
      </w:r>
      <w:r>
        <w:rPr>
          <w:rFonts w:eastAsia="Arial" w:cs="Times New Roman" w:ascii="Tinos" w:hAnsi="Tinos"/>
          <w:sz w:val="24"/>
          <w:szCs w:val="24"/>
        </w:rPr>
        <w:t>×</w:t>
      </w:r>
      <w:r>
        <w:rPr>
          <w:rFonts w:eastAsia="Arial" w:cs="Times New Roman" w:ascii="Times New Roman" w:hAnsi="Times New Roman"/>
          <w:sz w:val="24"/>
          <w:szCs w:val="24"/>
        </w:rPr>
        <w:t>10</w:t>
      </w:r>
      <w:r>
        <w:rPr>
          <w:rFonts w:eastAsia="Arial" w:cs="Times New Roman" w:ascii="Times New Roman" w:hAnsi="Times New Roman"/>
          <w:sz w:val="24"/>
          <w:szCs w:val="24"/>
          <w:vertAlign w:val="superscript"/>
        </w:rPr>
        <w:t>16</w:t>
      </w:r>
      <w:r>
        <w:rPr>
          <w:rFonts w:cs="Times New Roman" w:ascii="Times New Roman" w:hAnsi="Times New Roman"/>
          <w:sz w:val="24"/>
          <w:szCs w:val="24"/>
        </w:rPr>
        <w:t>, ez az jelenti, hogy a nullhipotézis valószínűsége gyakorlatilag 0%, ezért H0-t elutasítom a kiválasztott 5%-os szignifikancia szinten.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iCs/>
          <w:sz w:val="24"/>
          <w:szCs w:val="24"/>
        </w:rPr>
        <w:t>random modellnél</w:t>
      </w:r>
      <w:r>
        <w:rPr>
          <w:rFonts w:cs="Times New Roman" w:ascii="Times New Roman" w:hAnsi="Times New Roman"/>
          <w:sz w:val="24"/>
          <w:szCs w:val="24"/>
        </w:rPr>
        <w:t xml:space="preserve"> tehát jobb </w:t>
      </w:r>
      <w:r>
        <w:rPr>
          <w:rFonts w:cs="Times New Roman" w:ascii="Times New Roman" w:hAnsi="Times New Roman"/>
          <w:i/>
          <w:iCs/>
          <w:sz w:val="24"/>
          <w:szCs w:val="24"/>
        </w:rPr>
        <w:t>a fix hatású</w:t>
      </w:r>
      <w:r>
        <w:rPr>
          <w:rFonts w:cs="Times New Roman" w:ascii="Times New Roman" w:hAnsi="Times New Roman"/>
          <w:sz w:val="24"/>
          <w:szCs w:val="24"/>
        </w:rPr>
        <w:t xml:space="preserve">, azonban még a </w:t>
      </w:r>
      <w:r>
        <w:rPr>
          <w:rFonts w:cs="Times New Roman" w:ascii="Times New Roman" w:hAnsi="Times New Roman"/>
          <w:i/>
          <w:iCs/>
          <w:sz w:val="24"/>
          <w:szCs w:val="24"/>
        </w:rPr>
        <w:t>fix hatású</w:t>
      </w:r>
      <w:r>
        <w:rPr>
          <w:rFonts w:cs="Times New Roman" w:ascii="Times New Roman" w:hAnsi="Times New Roman"/>
          <w:sz w:val="24"/>
          <w:szCs w:val="24"/>
        </w:rPr>
        <w:t xml:space="preserve"> és </w:t>
      </w:r>
      <w:r>
        <w:rPr>
          <w:rFonts w:cs="Times New Roman" w:ascii="Times New Roman" w:hAnsi="Times New Roman"/>
          <w:i/>
          <w:iCs/>
          <w:sz w:val="24"/>
          <w:szCs w:val="24"/>
        </w:rPr>
        <w:t>a Pooled OLS</w:t>
      </w:r>
      <w:r>
        <w:rPr>
          <w:rFonts w:cs="Times New Roman" w:ascii="Times New Roman" w:hAnsi="Times New Roman"/>
          <w:sz w:val="24"/>
          <w:szCs w:val="24"/>
        </w:rPr>
        <w:t xml:space="preserve"> közötti döntéshez még egy F tesztet kell elvégezzek. Az F-teszt nullhipotézise szerint a </w:t>
      </w:r>
      <w:r>
        <w:rPr>
          <w:rFonts w:cs="Times New Roman" w:ascii="Times New Roman" w:hAnsi="Times New Roman"/>
          <w:i/>
          <w:iCs/>
          <w:sz w:val="24"/>
          <w:szCs w:val="24"/>
        </w:rPr>
        <w:t>Pooled OLS</w:t>
      </w:r>
      <w:r>
        <w:rPr>
          <w:rFonts w:cs="Times New Roman" w:ascii="Times New Roman" w:hAnsi="Times New Roman"/>
          <w:sz w:val="24"/>
          <w:szCs w:val="24"/>
        </w:rPr>
        <w:t xml:space="preserve"> a megfelelő, alternatív hipotézise pedig az, hogy a </w:t>
      </w:r>
      <w:r>
        <w:rPr>
          <w:rFonts w:cs="Times New Roman" w:ascii="Times New Roman" w:hAnsi="Times New Roman"/>
          <w:i/>
          <w:iCs/>
          <w:sz w:val="24"/>
          <w:szCs w:val="24"/>
        </w:rPr>
        <w:t>fix hatású modell</w:t>
      </w:r>
      <w:r>
        <w:rPr>
          <w:rFonts w:cs="Times New Roman" w:ascii="Times New Roman" w:hAnsi="Times New Roman"/>
          <w:sz w:val="24"/>
          <w:szCs w:val="24"/>
        </w:rPr>
        <w:t xml:space="preserve"> a megfelelő. A tesztből kapott p-érték 2,2</w:t>
      </w:r>
      <w:r>
        <w:rPr>
          <w:rFonts w:cs="Segoe UI Symbol" w:ascii="Segoe UI Symbol" w:hAnsi="Segoe UI Symbol"/>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16,</w:t>
      </w:r>
      <w:r>
        <w:rPr>
          <w:rFonts w:cs="Times New Roman" w:ascii="Times New Roman" w:hAnsi="Times New Roman"/>
          <w:sz w:val="24"/>
          <w:szCs w:val="24"/>
        </w:rPr>
        <w:t xml:space="preserve"> ami azt jelenti, hogy a nullhipotézis valószínűsége közel 0%. Ez alapján 5%-on elutasítom H0-t, </w:t>
      </w:r>
      <w:r>
        <w:rPr>
          <w:rFonts w:cs="Times New Roman" w:ascii="Times New Roman" w:hAnsi="Times New Roman"/>
          <w:i/>
          <w:iCs/>
          <w:sz w:val="24"/>
          <w:szCs w:val="24"/>
        </w:rPr>
        <w:t>a fix modellt</w:t>
      </w:r>
      <w:r>
        <w:rPr>
          <w:rFonts w:cs="Times New Roman" w:ascii="Times New Roman" w:hAnsi="Times New Roman"/>
          <w:sz w:val="24"/>
          <w:szCs w:val="24"/>
        </w:rPr>
        <w:t xml:space="preserve"> preferálom mind a </w:t>
      </w:r>
      <w:r>
        <w:rPr>
          <w:rFonts w:cs="Times New Roman" w:ascii="Times New Roman" w:hAnsi="Times New Roman"/>
          <w:i/>
          <w:iCs/>
          <w:sz w:val="24"/>
          <w:szCs w:val="24"/>
        </w:rPr>
        <w:t>Pooled OLS</w:t>
      </w:r>
      <w:r>
        <w:rPr>
          <w:rFonts w:cs="Times New Roman" w:ascii="Times New Roman" w:hAnsi="Times New Roman"/>
          <w:sz w:val="24"/>
          <w:szCs w:val="24"/>
        </w:rPr>
        <w:t xml:space="preserve">-sel és a </w:t>
      </w:r>
      <w:r>
        <w:rPr>
          <w:rFonts w:cs="Times New Roman" w:ascii="Times New Roman" w:hAnsi="Times New Roman"/>
          <w:i/>
          <w:iCs/>
          <w:sz w:val="24"/>
          <w:szCs w:val="24"/>
        </w:rPr>
        <w:t>random hatásúval</w:t>
      </w:r>
      <w:r>
        <w:rPr>
          <w:rFonts w:cs="Times New Roman" w:ascii="Times New Roman" w:hAnsi="Times New Roman"/>
          <w:sz w:val="24"/>
          <w:szCs w:val="24"/>
        </w:rPr>
        <w:t xml:space="preserve"> szemben.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Többféle </w:t>
      </w:r>
      <w:r>
        <w:rPr>
          <w:rFonts w:cs="Times New Roman" w:ascii="Times New Roman" w:hAnsi="Times New Roman"/>
          <w:i/>
          <w:iCs/>
          <w:sz w:val="24"/>
          <w:szCs w:val="24"/>
        </w:rPr>
        <w:t>fix hatású</w:t>
      </w:r>
      <w:r>
        <w:rPr>
          <w:rFonts w:cs="Times New Roman" w:ascii="Times New Roman" w:hAnsi="Times New Roman"/>
          <w:sz w:val="24"/>
          <w:szCs w:val="24"/>
        </w:rPr>
        <w:t xml:space="preserve"> modellt illesztettem, azonban szerintem négyet érdemes kiemelni. Minden modellben először minden változó szerepelt, amiket a modellszelekció során szűrtem. Az első modellben a CSOK változót 4 részre bontottam: nincsen, alacsony érdeklődés, közepes érdeklődés, magas érdeklődés. Ezeket a csoportokat úgy alakítottam ki, hogy 2016-ig nincsen CSOK érdeklődés, majd onnantól az adatokat sorba rendezve harmadoltam. A második modell az elsőhöz hasonló, azonban CSOK érdeklődésnél magas és alacsony van, a mediánnál elvágva. A harmadik modellben a CSOK érdeklődés számként szerepel, a negyedik modellben pedig egyáltalán nem szerepel. Megfelelő modellszűkítés után a </w:t>
      </w:r>
      <w:r>
        <w:rPr>
          <w:rFonts w:cs="Times New Roman" w:ascii="Times New Roman" w:hAnsi="Times New Roman"/>
          <w:i/>
          <w:iCs/>
          <w:sz w:val="24"/>
          <w:szCs w:val="24"/>
        </w:rPr>
        <w:t>3. táblázatban</w:t>
      </w:r>
      <w:r>
        <w:rPr>
          <w:rFonts w:cs="Times New Roman" w:ascii="Times New Roman" w:hAnsi="Times New Roman"/>
          <w:sz w:val="24"/>
          <w:szCs w:val="24"/>
        </w:rPr>
        <w:t xml:space="preserve"> szereplő modellekre jutottam.</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3. táblázat: A fix hatású modellek eredményei</w:t>
      </w:r>
    </w:p>
    <w:tbl>
      <w:tblPr>
        <w:tblW w:w="9165"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2258"/>
        <w:gridCol w:w="1492"/>
        <w:gridCol w:w="1770"/>
        <w:gridCol w:w="1785"/>
        <w:gridCol w:w="1860"/>
      </w:tblGrid>
      <w:tr>
        <w:trPr>
          <w:trHeight w:val="440" w:hRule="atLeast"/>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Y: lakásépítés</w:t>
            </w:r>
          </w:p>
        </w:tc>
        <w:tc>
          <w:tcPr>
            <w:tcW w:w="6907"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Modellek</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λ</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0,3368</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0,3424</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0.3471</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0.3523</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SZJA</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-0.0039</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MUNKA</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BERUHÁZÁS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-0.0057</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-0.0057</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ÁTLAGÁR</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1,0397</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1.0154</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0.9497</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0.9688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SÉRTETT</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-0.0007</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-0.0006</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PC1</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-1,5550</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-1.5884</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-1.8309</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-1.7868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PC2</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-0,9547</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-0.9721</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-0.9176</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alacsony</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2,3126</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2.4211</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közepes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2,8423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magas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0,5985</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1.2783</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számmal</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0.0062</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rHeight w:val="440" w:hRule="atLeast"/>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Megjegyzés</w:t>
            </w:r>
          </w:p>
        </w:tc>
        <w:tc>
          <w:tcPr>
            <w:tcW w:w="6907"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right"/>
              <w:rPr>
                <w:rFonts w:ascii="Times New Roman" w:hAnsi="Times New Roman" w:cs="Times New Roman"/>
                <w:sz w:val="24"/>
                <w:szCs w:val="24"/>
              </w:rPr>
            </w:pPr>
            <w:r>
              <w:rPr>
                <w:rFonts w:cs="Times New Roman" w:ascii="Times New Roman" w:hAnsi="Times New Roman"/>
                <w:sz w:val="24"/>
                <w:szCs w:val="24"/>
              </w:rPr>
              <w:t>*p &lt; 0,05; **p &lt; 0,01; ***p &lt; 0,001</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modellek együtthatói között minden esetben 1 százalékon is szignifikánsak a minden modellben szereplő … változók. Az első modellben a CSOK trendnek négyféle értéke lehet: nincsen CSOK, alacsony érdeklődés, közepes érdeklődés, magas érdeklődés. Mivel dummy kódolással adtam meg, ezért minden bétát ahhoz kell viszonyítani, hogy nincsen CSOK.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Érdekes megfigyelni, hogy a legnagyobb növekedés a lakásépítésben az alacsony érdeklődés mellett van ahhoz képest, mintha nem lenne CSOK. A magas érdeklődés pedig semmilyen szokványos szignifikanciaszinten sem szignifikáns, nagy az esélye, hogy a sokaságban annak a bétának az értéke nulla. A modellszelekciót az Akaike és a Bayes-i információs kritériumok segítségével végzem 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i/>
          <w:i/>
          <w:sz w:val="24"/>
          <w:szCs w:val="24"/>
        </w:rPr>
      </w:pPr>
      <w:r>
        <w:rPr>
          <w:rFonts w:cs="Times New Roman" w:ascii="Times New Roman" w:hAnsi="Times New Roman"/>
          <w:i/>
          <w:sz w:val="24"/>
          <w:szCs w:val="24"/>
        </w:rPr>
        <w:t>4.táblázat: Az Akaike és Bayes-i információs kritériumok a modelleken</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AIC</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BIC</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11927.62</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11987.76</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11933.74</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11988.41</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11937.51</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11981.24</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11937.27</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11970.08</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Míg az AIC szerint a négyfelé bontott CSOK keresés a BIC szerint a CSOK nélküli modell a jobb. Én a BIC szerint döntök, így végső modellnek a CSOK nélküli modellt választom. A végső modell együtthatóinak bétája is érdekes.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végső modellben ceteris paribus amennyiben növekszik egy egységgel az egy főre jutó beruházások teljesítményértéke, akkor a tízezer főre jutó lakásépítések száma 0,0057-tel csökken. C.p. az átlagár egy millió forintnyi növekedése a tízezer főre jutó lakásépítések száma 0,9688-cal nő. Amennyiben minden más változatlansága mellett nő a 100 lakosra jutó sértettek száma (bűncselekményekből) eggyel nő, 0,0008-cal csökken a tízezer főre jutó lakásépítések száma. Az első főkomponens c.p. egy egységnyi növekedése a tízezer főre jutó lakásépítések száma 1,7868-cal csökken a tízezer főre jutó lakásépítések száma.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első modellben a magas CSOK iránti érdeklődés valószínűleg egyáltalán nem szignifikáns, valamint a végső modellbe nem került bele a CSOK. Ez lehet akár azért is, mert a támogatott lakáshitelek nagy része használt ingatlan vásárlására lett felhasználva. (MNB, 2022). Egy másik tényező is hozzájárulhatott ehhez, a Balatonnál feltehetően nyaralók épültek nagy számban, amit nem az ott lakók vettek birtokba. A CSOK egyik feltétele, hogy az újdonsült ingatlanba át kell jelenteni a szülők és gyerekek lakcímét, ami a nyaraló esetben nem kivitelezhető, ezért valószínűsíthetően ezek nem CSOK-os hitelből és támogatásból épültek.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szignifikáns, ám logikailag nem teljesen érthető, negatív bétájú beruházás és foglalkoztatottság is egy felettébb különös eredmény. Véleményem szerint ez akár azért is lehet, mert ezen változók egymással is nagymértékben korrelálnak és egyfajta mediáció léphet fel. Ennek a kezelését a SEM modellekkel fogom végezni.</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CSOK keresési trend azonban egyáltalán nem volt szignifikáns számként és minőségi változóként is csak az „alacsony érdeklődés” tért el 1%-on szignifikánsan attól, hogy nincsen CSOK. Így a dolgozatom fő kérdésére, minthogy van-e CSOK iránti érdeklődésnek hatása a lakásépítésekben a válaszom az, hogy a panelmodellek eredményei alapján nincsen.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SEM modellbe ezek alapján nem teszem be a CSOK keresési trend egyik változatát sem. Egyes változóim túlságosan nagy szórást mutattak, így ezeket standardizáltam. A SEM modell egy látens komponensből és 3 db egyenletből áll. A látens komponenst a PC1 nevű főkomponensem elemei alkotják. A három egyenlet közül az elsőben a tízezer főre jutó lakásépítések számát magyarázom az SZJA, beruházás, foglalkoztatottság, átlagár, és az egészségügyi (látens) változókkal. A második egyenletben az átlagárat az SZJA-val és az egészségügyi látensváltozóval. A harmadik egyenletben pedig az SZJA-t magyarázom a foglalkoztatottsággal, </w:t>
      </w:r>
    </w:p>
    <w:p>
      <w:pPr>
        <w:pStyle w:val="Cmsor2"/>
        <w:spacing w:lineRule="auto" w:line="276"/>
        <w:rPr>
          <w:rFonts w:ascii="Times New Roman" w:hAnsi="Times New Roman" w:cs="Times New Roman"/>
        </w:rPr>
      </w:pPr>
      <w:bookmarkStart w:id="3" w:name="_Toc136700573"/>
      <w:r>
        <w:rPr>
          <w:rFonts w:cs="Times New Roman" w:ascii="Times New Roman" w:hAnsi="Times New Roman"/>
        </w:rPr>
        <w:t>Diszkusszió</w:t>
      </w:r>
      <w:bookmarkEnd w:id="3"/>
    </w:p>
    <w:p>
      <w:pPr>
        <w:pStyle w:val="Cmsor2"/>
        <w:rPr>
          <w:rFonts w:ascii="Times New Roman" w:hAnsi="Times New Roman" w:cs="Times New Roman"/>
        </w:rPr>
      </w:pPr>
      <w:r>
        <w:rPr/>
      </w:r>
      <w:r>
        <w:br w:type="page"/>
      </w:r>
    </w:p>
    <w:p>
      <w:pPr>
        <w:pStyle w:val="Cmsor2"/>
        <w:rPr>
          <w:rFonts w:ascii="Times New Roman" w:hAnsi="Times New Roman" w:cs="Times New Roman"/>
        </w:rPr>
      </w:pPr>
      <w:bookmarkStart w:id="4" w:name="_Toc136700574"/>
      <w:r>
        <w:rPr>
          <w:rFonts w:cs="Times New Roman" w:ascii="Times New Roman" w:hAnsi="Times New Roman"/>
        </w:rPr>
        <w:t>Irodalomjegyzék</w:t>
      </w:r>
      <w:bookmarkEnd w:id="4"/>
    </w:p>
    <w:p>
      <w:pPr>
        <w:pStyle w:val="Normal"/>
        <w:rPr>
          <w:rFonts w:ascii="Times New Roman" w:hAnsi="Times New Roman" w:cs="Times New Roman"/>
        </w:rPr>
      </w:pPr>
      <w:r>
        <w:rPr>
          <w:rFonts w:cs="Times New Roman" w:ascii="Times New Roman" w:hAnsi="Times New Roman"/>
        </w:rPr>
        <w:t>Anselin, L. (1988</w:t>
      </w:r>
      <w:r>
        <w:rPr>
          <w:rFonts w:cs="Times New Roman" w:ascii="Times New Roman" w:hAnsi="Times New Roman"/>
          <w:i/>
          <w:iCs/>
        </w:rPr>
        <w:t>). Spatial econometrics: Methods and models</w:t>
      </w:r>
      <w:r>
        <w:rPr>
          <w:rFonts w:cs="Times New Roman" w:ascii="Times New Roman" w:hAnsi="Times New Roman"/>
        </w:rPr>
        <w:t>.Dordrecht: Kluwer Academic Publishers.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(1995). Local indicators of spatial association—LISA. </w:t>
      </w:r>
      <w:r>
        <w:rPr>
          <w:rFonts w:cs="Times New Roman" w:ascii="Times New Roman" w:hAnsi="Times New Roman"/>
          <w:i/>
          <w:iCs/>
        </w:rPr>
        <w:t>Geographical analysis</w:t>
      </w:r>
      <w:r>
        <w:rPr>
          <w:rFonts w:cs="Times New Roman" w:ascii="Times New Roman" w:hAnsi="Times New Roman"/>
        </w:rPr>
        <w:t xml:space="preserve">, 27(2), 93-115. Forrás: </w:t>
      </w:r>
      <w:hyperlink r:id="rId5">
        <w:r>
          <w:rPr>
            <w:rFonts w:cs="Times New Roman" w:ascii="Times New Roman" w:hAnsi="Times New Roman"/>
          </w:rPr>
          <w:t>https://doi.org/10.1111/j.1538-4632.1995.tb00338.x</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(2003). Spatial externalities, spatial multipliers, and spatial econometrics. </w:t>
      </w:r>
      <w:r>
        <w:rPr>
          <w:rFonts w:cs="Times New Roman" w:ascii="Times New Roman" w:hAnsi="Times New Roman"/>
          <w:i/>
          <w:iCs/>
        </w:rPr>
        <w:t>International regional science review</w:t>
      </w:r>
      <w:r>
        <w:rPr>
          <w:rFonts w:cs="Times New Roman" w:ascii="Times New Roman" w:hAnsi="Times New Roman"/>
        </w:rPr>
        <w:t xml:space="preserve">, 26(2), 153-166. Forrás: </w:t>
      </w:r>
      <w:hyperlink r:id="rId6">
        <w:r>
          <w:rPr>
            <w:rFonts w:cs="Times New Roman" w:ascii="Times New Roman" w:hAnsi="Times New Roman"/>
          </w:rPr>
          <w:t>https://doi.org/10.1177/0160017602250972</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Anselin, L., Bera, A. K., Florax, R., &amp; Yoon, M. J. (1996). Simple diagnostic tests for spatial dependence</w:t>
      </w:r>
      <w:r>
        <w:rPr>
          <w:rFonts w:cs="Times New Roman" w:ascii="Times New Roman" w:hAnsi="Times New Roman"/>
          <w:i/>
          <w:iCs/>
        </w:rPr>
        <w:t>. Regional Science and Urban Economics</w:t>
      </w:r>
      <w:r>
        <w:rPr>
          <w:rFonts w:cs="Times New Roman" w:ascii="Times New Roman" w:hAnsi="Times New Roman"/>
        </w:rPr>
        <w:t xml:space="preserve">, 26(1), 77-104. Forrás: </w:t>
      </w:r>
      <w:hyperlink r:id="rId7">
        <w:r>
          <w:rPr>
            <w:rFonts w:cs="Times New Roman" w:ascii="Times New Roman" w:hAnsi="Times New Roman"/>
          </w:rPr>
          <w:t>https://doi.org/10.1016/0166-0462(95)02111-6</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Gallo, J. L., &amp; Jayet, H. (2008). Spatial Panel Econometrics. In Mátyás, L. &amp; Sevestre,P. (szerk.), </w:t>
      </w:r>
      <w:r>
        <w:rPr>
          <w:rFonts w:cs="Times New Roman" w:ascii="Times New Roman" w:hAnsi="Times New Roman"/>
          <w:i/>
          <w:iCs/>
        </w:rPr>
        <w:t>The Econometrics of Panel Data: fundamentals and recent developments in theory and practice (Third edition)</w:t>
      </w:r>
      <w:r>
        <w:rPr>
          <w:rFonts w:cs="Times New Roman" w:ascii="Times New Roman" w:hAnsi="Times New Roman"/>
        </w:rPr>
        <w:t>(old.: 625-660). Berlin: Springer. Forrás: https://doi.org/10.1007/978-3-540-75892-1_19</w:t>
      </w:r>
    </w:p>
    <w:p>
      <w:pPr>
        <w:pStyle w:val="Normal"/>
        <w:rPr/>
      </w:pPr>
      <w:r>
        <w:rPr/>
      </w:r>
    </w:p>
    <w:p>
      <w:pPr>
        <w:pStyle w:val="Normal"/>
        <w:rPr>
          <w:rFonts w:ascii="Times New Roman" w:hAnsi="Times New Roman" w:cs="Times New Roman"/>
        </w:rPr>
      </w:pPr>
      <w:r>
        <w:rPr>
          <w:rFonts w:cs="Times New Roman" w:ascii="Times New Roman" w:hAnsi="Times New Roman"/>
        </w:rPr>
        <w:t>Békés, G., Horváth, Á., &amp; Sápi, Z. (2016). Lakóingatlanárak és települési különbségek</w:t>
      </w:r>
      <w:r>
        <w:rPr>
          <w:rFonts w:cs="Times New Roman" w:ascii="Times New Roman" w:hAnsi="Times New Roman"/>
          <w:i/>
          <w:iCs/>
        </w:rPr>
        <w:t>. Közgazdasági Szemle,</w:t>
      </w:r>
      <w:r>
        <w:rPr>
          <w:rFonts w:cs="Times New Roman" w:ascii="Times New Roman" w:hAnsi="Times New Roman"/>
        </w:rPr>
        <w:t xml:space="preserve"> 63(12), 1289–1323. Forrás: </w:t>
      </w:r>
      <w:hyperlink r:id="rId8">
        <w:r>
          <w:rPr>
            <w:rStyle w:val="Internet-hivatkozs"/>
            <w:rFonts w:cs="Times New Roman" w:ascii="Times New Roman" w:hAnsi="Times New Roman"/>
            <w:color w:val="auto"/>
            <w:u w:val="none"/>
          </w:rPr>
          <w:t>https://doi.org/10.18414/ksz.2016.12.1289</w:t>
        </w:r>
      </w:hyperlink>
    </w:p>
    <w:p>
      <w:pPr>
        <w:pStyle w:val="Normal"/>
        <w:rPr/>
      </w:pPr>
      <w:r>
        <w:rPr/>
      </w:r>
    </w:p>
    <w:p>
      <w:pPr>
        <w:pStyle w:val="Normal"/>
        <w:rPr>
          <w:rFonts w:ascii="Times New Roman" w:hAnsi="Times New Roman" w:cs="Times New Roman"/>
        </w:rPr>
      </w:pPr>
      <w:r>
        <w:rPr>
          <w:rFonts w:cs="Times New Roman" w:ascii="Times New Roman" w:hAnsi="Times New Roman"/>
        </w:rPr>
        <w:t xml:space="preserve">Dancsik, B., Marosi, A., &amp; Szabó, B. (2022). Túl drága az olcsó hitel – a családi otthonteremtési kedvezmény támogatott hitelkamatainak vizsgálata. </w:t>
      </w:r>
      <w:r>
        <w:rPr>
          <w:rFonts w:cs="Times New Roman" w:ascii="Times New Roman" w:hAnsi="Times New Roman"/>
          <w:i/>
          <w:iCs/>
        </w:rPr>
        <w:t>Közgazdasági Szemle</w:t>
      </w:r>
      <w:r>
        <w:rPr>
          <w:rFonts w:cs="Times New Roman" w:ascii="Times New Roman" w:hAnsi="Times New Roman"/>
        </w:rPr>
        <w:t xml:space="preserve">, 69(12), 1493–1506. Forrás: </w:t>
      </w:r>
      <w:r>
        <w:rPr>
          <w:rStyle w:val="Internet-hivatkozs"/>
          <w:rFonts w:cs="Times New Roman" w:ascii="Times New Roman" w:hAnsi="Times New Roman"/>
          <w:color w:val="auto"/>
          <w:u w:val="none"/>
        </w:rPr>
        <w:t>https://doi.org/10.18414/ksz.2022.12.1493</w:t>
      </w:r>
    </w:p>
    <w:p>
      <w:pPr>
        <w:pStyle w:val="Normal"/>
        <w:rPr/>
      </w:pPr>
      <w:r>
        <w:rPr/>
      </w:r>
    </w:p>
    <w:p>
      <w:pPr>
        <w:pStyle w:val="Normal"/>
        <w:rPr>
          <w:rFonts w:ascii="Times New Roman" w:hAnsi="Times New Roman" w:cs="Times New Roman"/>
        </w:rPr>
      </w:pPr>
      <w:r>
        <w:rPr>
          <w:rFonts w:cs="Times New Roman" w:ascii="Times New Roman" w:hAnsi="Times New Roman"/>
        </w:rPr>
        <w:t xml:space="preserve">Fellner, Z., Marosi, A., &amp; Szabó, B. (2021). A babaváró kölcsön hitelpiaci és reálgazdasági hatásai. </w:t>
      </w:r>
      <w:r>
        <w:rPr>
          <w:rFonts w:cs="Times New Roman" w:ascii="Times New Roman" w:hAnsi="Times New Roman"/>
          <w:i/>
          <w:iCs/>
          <w:color w:val="000000"/>
        </w:rPr>
        <w:t>Közgazdasági Szemle,</w:t>
      </w:r>
      <w:r>
        <w:rPr>
          <w:rFonts w:cs="Times New Roman" w:ascii="Times New Roman" w:hAnsi="Times New Roman"/>
          <w:color w:val="000000"/>
        </w:rPr>
        <w:t xml:space="preserve"> 68(2), 150–177. </w:t>
      </w:r>
      <w:r>
        <w:rPr>
          <w:rFonts w:cs="Times New Roman" w:ascii="Times New Roman" w:hAnsi="Times New Roman"/>
        </w:rPr>
        <w:t xml:space="preserve">Forrás: </w:t>
      </w:r>
      <w:hyperlink r:id="rId9">
        <w:r>
          <w:rPr>
            <w:rStyle w:val="Internet-hivatkozs"/>
            <w:rFonts w:cs="Times New Roman" w:ascii="Times New Roman" w:hAnsi="Times New Roman"/>
            <w:color w:val="000000"/>
            <w:u w:val="none"/>
          </w:rPr>
          <w:t>https://doi.org/10.18414/ksz.2021.2.150</w:t>
        </w:r>
      </w:hyperlink>
    </w:p>
    <w:p>
      <w:pPr>
        <w:pStyle w:val="Normal"/>
        <w:rPr/>
      </w:pPr>
      <w:r>
        <w:rPr/>
      </w:r>
    </w:p>
    <w:p>
      <w:pPr>
        <w:pStyle w:val="Normal"/>
        <w:rPr>
          <w:rFonts w:ascii="Times New Roman" w:hAnsi="Times New Roman" w:cs="Times New Roman"/>
        </w:rPr>
      </w:pPr>
      <w:r>
        <w:rPr>
          <w:rFonts w:cs="Times New Roman" w:ascii="Times New Roman" w:hAnsi="Times New Roman"/>
        </w:rPr>
        <w:t xml:space="preserve">Magyar Nemzeti Bank. (2022). </w:t>
      </w:r>
      <w:r>
        <w:rPr>
          <w:rFonts w:cs="Times New Roman" w:ascii="Times New Roman" w:hAnsi="Times New Roman"/>
          <w:i/>
          <w:iCs/>
        </w:rPr>
        <w:t>Lakáspiaci jelentés (2022 május)</w:t>
      </w:r>
      <w:r>
        <w:rPr>
          <w:rFonts w:cs="Times New Roman" w:ascii="Times New Roman" w:hAnsi="Times New Roman"/>
        </w:rPr>
        <w:t xml:space="preserve">. Forrás:  </w:t>
      </w:r>
      <w:hyperlink r:id="rId10">
        <w:r>
          <w:rPr>
            <w:rStyle w:val="Internet-hivatkozs"/>
            <w:rFonts w:cs="Times New Roman" w:ascii="Times New Roman" w:hAnsi="Times New Roman"/>
            <w:color w:val="auto"/>
            <w:u w:val="none"/>
          </w:rPr>
          <w:t>https://www.mnb.hu/letoltes/laka-spiaci-jelente-s-2022-ma-jus-hun.pdf</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Moran, P. A. (1950). Notes on Continuous Stochastic Phenomena. </w:t>
      </w:r>
      <w:r>
        <w:rPr>
          <w:rFonts w:cs="Times New Roman" w:ascii="Times New Roman" w:hAnsi="Times New Roman"/>
          <w:i/>
          <w:iCs/>
        </w:rPr>
        <w:t>Biometrika</w:t>
      </w:r>
      <w:r>
        <w:rPr>
          <w:rFonts w:cs="Times New Roman" w:ascii="Times New Roman" w:hAnsi="Times New Roman"/>
        </w:rPr>
        <w:t>, 37(1/2), 17-23. Forrás: https://doi.org/10.2307/2332142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Nagy, K., Palócz, É., &amp; Vakhal, P. (2016). Risks and challenges to international and Hungarian econo-my in the middle of the decade. </w:t>
      </w:r>
      <w:r>
        <w:rPr>
          <w:rFonts w:cs="Times New Roman" w:ascii="Times New Roman" w:hAnsi="Times New Roman"/>
          <w:i/>
          <w:iCs/>
        </w:rPr>
        <w:t xml:space="preserve">Statisztikai Szemle, </w:t>
      </w:r>
      <w:r>
        <w:rPr>
          <w:rFonts w:cs="Times New Roman" w:ascii="Times New Roman" w:hAnsi="Times New Roman"/>
        </w:rPr>
        <w:t>93(Special number 20), 20–43</w:t>
      </w:r>
      <w:r>
        <w:rPr>
          <w:rFonts w:cs="Times New Roman" w:ascii="Times New Roman" w:hAnsi="Times New Roman"/>
          <w:i/>
          <w:iCs/>
        </w:rPr>
        <w:t>.</w:t>
      </w:r>
      <w:r>
        <w:rPr>
          <w:rFonts w:cs="Times New Roman" w:ascii="Times New Roman" w:hAnsi="Times New Roman"/>
        </w:rPr>
        <w:t xml:space="preserve"> Forrás: https://doi.org/10.20311/stat2016.k20.en020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Plöchl, K., &amp; Obádovics, C. (2021). A CSOK-támogatást igénylők vizsgálata az előzetes gyermekvállalás és az ingatlanszerzés mértéke szempontjából egy hitelintézet adatai alapján. Forrás: </w:t>
      </w:r>
      <w:r>
        <w:rPr>
          <w:rFonts w:cs="Times New Roman" w:ascii="Times New Roman" w:hAnsi="Times New Roman"/>
          <w:i/>
          <w:iCs/>
        </w:rPr>
        <w:t>Hitelintézeti Szemle</w:t>
      </w:r>
      <w:r>
        <w:rPr>
          <w:rFonts w:cs="Times New Roman" w:ascii="Times New Roman" w:hAnsi="Times New Roman"/>
        </w:rPr>
        <w:t>. Forrás: https://doi.org/10.25201/hsz.20.3.80109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Tóth, G. (2003). Területi autokorrelációs vizsgálat a Local Moran I módszerével. </w:t>
      </w:r>
      <w:r>
        <w:rPr>
          <w:rFonts w:cs="Times New Roman" w:ascii="Times New Roman" w:hAnsi="Times New Roman"/>
          <w:i/>
          <w:iCs/>
        </w:rPr>
        <w:t>Tér és Társadalom</w:t>
      </w:r>
      <w:r>
        <w:rPr>
          <w:rFonts w:cs="Times New Roman" w:ascii="Times New Roman" w:hAnsi="Times New Roman"/>
        </w:rPr>
        <w:t xml:space="preserve">, 17(4), 39-49.Forrás: </w:t>
      </w:r>
      <w:r>
        <w:rPr>
          <w:rStyle w:val="Internet-hivatkozs"/>
          <w:rFonts w:cs="Times New Roman" w:ascii="Times New Roman" w:hAnsi="Times New Roman"/>
        </w:rPr>
        <w:t>http://real.mtak.hu/115938/1/EPA02251_Ter_es_tarsadalom1825.pdf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Varga, A. (2002). Térökonometria. Statisztikai Szemle, 80(4), 354-370. Forrás: https://www.ksh.hu/statszemle_archive/2002/2002_04/2002_04_354.pdf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Varga, A. (2002). Térökonometria. </w:t>
      </w:r>
      <w:r>
        <w:rPr>
          <w:rFonts w:cs="Times New Roman" w:ascii="Times New Roman" w:hAnsi="Times New Roman"/>
          <w:i/>
          <w:iCs/>
        </w:rPr>
        <w:t>Statisztikai Szemle</w:t>
      </w:r>
      <w:r>
        <w:rPr>
          <w:rFonts w:cs="Times New Roman" w:ascii="Times New Roman" w:hAnsi="Times New Roman"/>
        </w:rPr>
        <w:t xml:space="preserve">, 80(4), 354-370. Forrás: </w:t>
      </w:r>
      <w:hyperlink r:id="rId11">
        <w:r>
          <w:rPr>
            <w:rStyle w:val="Internet-hivatkozs"/>
            <w:rFonts w:cs="Times New Roman" w:ascii="Times New Roman" w:hAnsi="Times New Roman"/>
            <w:color w:val="auto"/>
            <w:u w:val="none"/>
          </w:rPr>
          <w:t>https://www.ksh.hu/statszemle_archive/2002/2002_04/2002_04_354.pdf</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Vasárus, G. (2022). Városhatáron belüli szuburbanizáció Magyarországon – egy paradoxon feltárása. </w:t>
      </w:r>
      <w:r>
        <w:rPr>
          <w:rFonts w:cs="Times New Roman" w:ascii="Times New Roman" w:hAnsi="Times New Roman"/>
          <w:i/>
          <w:iCs/>
        </w:rPr>
        <w:t>Területi Statisztika,</w:t>
      </w:r>
      <w:r>
        <w:rPr>
          <w:rFonts w:cs="Times New Roman" w:ascii="Times New Roman" w:hAnsi="Times New Roman"/>
        </w:rPr>
        <w:t xml:space="preserve"> 62(4), 379–404. Forrás: https://doi.org/10.15196/ts620401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Wood, S. N. (2003). Thin Plate Regression Splines. </w:t>
      </w:r>
      <w:r>
        <w:rPr>
          <w:rFonts w:cs="Times New Roman" w:ascii="Times New Roman" w:hAnsi="Times New Roman"/>
          <w:i/>
          <w:iCs/>
        </w:rPr>
        <w:t>Journal of the Royal Statistical Society. Series B (Statistical Methodology), 65</w:t>
      </w:r>
      <w:r>
        <w:rPr>
          <w:rFonts w:cs="Times New Roman" w:ascii="Times New Roman" w:hAnsi="Times New Roman"/>
        </w:rPr>
        <w:t>(1), 95–114. http://www.jstor.org/stable/3088828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color w:val="222222"/>
          <w:shd w:fill="FFFFFF" w:val="clear"/>
        </w:rPr>
        <w:t>Wooldridge, J. M. (2010). </w:t>
      </w:r>
      <w:r>
        <w:rPr>
          <w:rFonts w:cs="Times New Roman" w:ascii="Times New Roman" w:hAnsi="Times New Roman"/>
          <w:i/>
          <w:iCs/>
          <w:color w:val="222222"/>
          <w:shd w:fill="FFFFFF" w:val="clear"/>
        </w:rPr>
        <w:t>Econometric analysis of cross section and panel data</w:t>
      </w:r>
      <w:r>
        <w:rPr>
          <w:rFonts w:cs="Times New Roman" w:ascii="Times New Roman" w:hAnsi="Times New Roman"/>
          <w:color w:val="222222"/>
          <w:shd w:fill="FFFFFF" w:val="clear"/>
        </w:rPr>
        <w:t>. MIT press.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Internetes források: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Google Trends (n.d.). „CSOK”. https://trends.google.com/trends/explore?date=all&amp;geo=HU&amp;q=CSOK&amp;hl=hu, </w:t>
      </w:r>
      <w:r>
        <w:rPr>
          <w:rStyle w:val="Internet-hivatkozs"/>
          <w:rFonts w:cs="Times New Roman" w:ascii="Times New Roman" w:hAnsi="Times New Roman"/>
          <w:color w:val="auto"/>
          <w:u w:val="none"/>
        </w:rPr>
        <w:t>Letöltés dátuma: 2023.04.08.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Központi Statisztika Hivatal. (2023). </w:t>
      </w:r>
      <w:r>
        <w:rPr>
          <w:rFonts w:cs="Times New Roman" w:ascii="Times New Roman" w:hAnsi="Times New Roman"/>
          <w:i/>
          <w:iCs/>
        </w:rPr>
        <w:t>Térképes Interaktív Megjelenítő Alkalmazás</w:t>
      </w:r>
      <w:r>
        <w:rPr>
          <w:rFonts w:cs="Times New Roman" w:ascii="Times New Roman" w:hAnsi="Times New Roman"/>
        </w:rPr>
        <w:t xml:space="preserve">. </w:t>
      </w:r>
      <w:hyperlink r:id="rId12">
        <w:r>
          <w:rPr>
            <w:rStyle w:val="Internet-hivatkozs"/>
            <w:rFonts w:cs="Times New Roman" w:ascii="Times New Roman" w:hAnsi="Times New Roman"/>
            <w:color w:val="auto"/>
            <w:u w:val="none"/>
          </w:rPr>
          <w:t>https://map.ksh.hu/timea/?locale=hu</w:t>
        </w:r>
      </w:hyperlink>
      <w:r>
        <w:rPr>
          <w:rStyle w:val="Internet-hivatkozs"/>
          <w:rFonts w:cs="Times New Roman" w:ascii="Times New Roman" w:hAnsi="Times New Roman"/>
          <w:color w:val="auto"/>
          <w:u w:val="none"/>
        </w:rPr>
        <w:t>, Letöltés dátuma: 2023.04.08.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Hivatkozott jogszabályok: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16/2016. (II. 10.) Korm. rendelet az új lakások építéséhez, vásárlásához kapcsolódó lakáscélú támogatásról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17/2016. (II. 10.) Korm. rendelet a használt lakás vásárlásához, bővítéséhez igényelhető</w:t>
      </w:r>
    </w:p>
    <w:p>
      <w:pPr>
        <w:pStyle w:val="Normal"/>
        <w:rPr>
          <w:rFonts w:ascii="Times New Roman" w:hAnsi="Times New Roman" w:cs="Times New Roman"/>
        </w:rPr>
      </w:pPr>
      <w:r>
        <w:rPr>
          <w:rFonts w:cs="Times New Roman" w:ascii="Times New Roman" w:hAnsi="Times New Roman"/>
        </w:rPr>
        <w:t>családi otthonteremtési kedvezményről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44/2019. (III. 12.) Korm. rendelet a babaváró támogatásról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2012. évi XCIII. törvény a járások kialakításáról, valamint egyes ezzel összefüggő törvények</w:t>
      </w:r>
    </w:p>
    <w:p>
      <w:pPr>
        <w:pStyle w:val="Normal"/>
        <w:rPr>
          <w:rFonts w:ascii="Times New Roman" w:hAnsi="Times New Roman" w:cs="Times New Roman"/>
        </w:rPr>
      </w:pPr>
      <w:r>
        <w:rPr>
          <w:rFonts w:cs="Times New Roman" w:ascii="Times New Roman" w:hAnsi="Times New Roman"/>
        </w:rPr>
        <w:t>módosításáról</w:t>
      </w:r>
      <w:r>
        <w:br w:type="page"/>
      </w:r>
    </w:p>
    <w:p>
      <w:pPr>
        <w:pStyle w:val="Normal"/>
        <w:jc w:val="center"/>
        <w:rPr>
          <w:rFonts w:ascii="Times New Roman" w:hAnsi="Times New Roman" w:cs="Times New Roman"/>
          <w:i/>
          <w:i/>
          <w:iCs/>
        </w:rPr>
      </w:pPr>
      <w:r>
        <w:rPr>
          <w:rFonts w:cs="Times New Roman" w:ascii="Times New Roman" w:hAnsi="Times New Roman"/>
          <w:i/>
          <w:iCs/>
        </w:rPr>
        <w:t>3. ábra: korrelációs mátrix</w:t>
      </w:r>
    </w:p>
    <w:p>
      <w:pPr>
        <w:pStyle w:val="Normal"/>
        <w:jc w:val="center"/>
        <w:rPr>
          <w:rFonts w:ascii="Times New Roman" w:hAnsi="Times New Roman" w:cs="Times New Roman"/>
          <w:i/>
          <w:i/>
          <w:i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5731510"/>
            <wp:effectExtent l="0" t="0" r="0" b="0"/>
            <wp:wrapSquare wrapText="largest"/>
            <wp:docPr id="3"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2" descr=""/>
                    <pic:cNvPicPr>
                      <a:picLocks noChangeAspect="1" noChangeArrowheads="1"/>
                    </pic:cNvPicPr>
                  </pic:nvPicPr>
                  <pic:blipFill>
                    <a:blip r:embed="rId13"/>
                    <a:stretch>
                      <a:fillRect/>
                    </a:stretch>
                  </pic:blipFill>
                  <pic:spPr bwMode="auto">
                    <a:xfrm>
                      <a:off x="0" y="0"/>
                      <a:ext cx="5731510" cy="5731510"/>
                    </a:xfrm>
                    <a:prstGeom prst="rect">
                      <a:avLst/>
                    </a:prstGeom>
                  </pic:spPr>
                </pic:pic>
              </a:graphicData>
            </a:graphic>
          </wp:anchor>
        </w:drawing>
      </w:r>
      <w:r>
        <w:rPr>
          <w:rFonts w:cs="Times New Roman" w:ascii="Times New Roman" w:hAnsi="Times New Roman"/>
          <w:i/>
          <w:sz w:val="24"/>
          <w:szCs w:val="24"/>
        </w:rPr>
        <w:t>Forrás: KSH, saját számítás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További adatvizualizációkhoz a készítettem egy R Shiny webappot a dolgozatban használt adatforrásokból, ami az alábbi linken érhető el: https://dleves.shinyapps.io/SzakdolgozatMapPlot/</w:t>
      </w:r>
    </w:p>
    <w:sectPr>
      <w:footerReference w:type="default" r:id="rId14"/>
      <w:type w:val="nextPage"/>
      <w:pgSz w:w="11906" w:h="16838"/>
      <w:pgMar w:left="1440" w:right="1440" w:gutter="0" w:header="0" w:top="1440" w:footer="0" w:bottom="1440"/>
      <w:pgNumType w:start="0"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Cambria Math">
    <w:charset w:val="01"/>
    <w:family w:val="roman"/>
    <w:pitch w:val="variable"/>
  </w:font>
  <w:font w:name="DejaVu Sans">
    <w:charset w:val="01"/>
    <w:family w:val="swiss"/>
    <w:pitch w:val="default"/>
  </w:font>
  <w:font w:name="Tinos">
    <w:charset w:val="01"/>
    <w:family w:val="roman"/>
    <w:pitch w:val="variable"/>
  </w:font>
  <w:font w:name="Segoe UI 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34036206"/>
    </w:sdtPr>
    <w:sdtContent>
      <w:p>
        <w:pPr>
          <w:pStyle w:val="Llb"/>
          <w:jc w:val="right"/>
          <w:rPr/>
        </w:pPr>
        <w:r>
          <w:rPr/>
          <w:fldChar w:fldCharType="begin"/>
        </w:r>
        <w:r>
          <w:rPr/>
          <w:instrText xml:space="preserve"> PAGE </w:instrText>
        </w:r>
        <w:r>
          <w:rPr/>
          <w:fldChar w:fldCharType="separate"/>
        </w:r>
        <w:r>
          <w:rPr/>
          <w:t>14</w:t>
        </w:r>
        <w:r>
          <w:rPr/>
          <w:fldChar w:fldCharType="end"/>
        </w:r>
      </w:p>
    </w:sdtContent>
  </w:sdt>
  <w:p>
    <w:pPr>
      <w:pStyle w:val="Ll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u-HU" w:eastAsia="hu-H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hu-HU" w:eastAsia="hu-HU" w:bidi="ar-SA"/>
    </w:rPr>
  </w:style>
  <w:style w:type="paragraph" w:styleId="Cmsor1">
    <w:name w:val="Heading 1"/>
    <w:basedOn w:val="Normal"/>
    <w:next w:val="Normal"/>
    <w:link w:val="Cmsor1Char"/>
    <w:uiPriority w:val="9"/>
    <w:qFormat/>
    <w:pPr>
      <w:keepNext w:val="true"/>
      <w:keepLines/>
      <w:spacing w:before="400" w:after="120"/>
      <w:outlineLvl w:val="0"/>
    </w:pPr>
    <w:rPr>
      <w:sz w:val="40"/>
      <w:szCs w:val="40"/>
    </w:rPr>
  </w:style>
  <w:style w:type="paragraph" w:styleId="Cmsor2">
    <w:name w:val="Heading 2"/>
    <w:basedOn w:val="Normal"/>
    <w:next w:val="Normal"/>
    <w:uiPriority w:val="9"/>
    <w:unhideWhenUsed/>
    <w:qFormat/>
    <w:pPr>
      <w:keepNext w:val="true"/>
      <w:keepLines/>
      <w:spacing w:lineRule="auto" w:line="360" w:before="240" w:after="0"/>
      <w:jc w:val="both"/>
      <w:outlineLvl w:val="1"/>
    </w:pPr>
    <w:rPr>
      <w:b/>
      <w:sz w:val="24"/>
      <w:szCs w:val="24"/>
    </w:rPr>
  </w:style>
  <w:style w:type="paragraph" w:styleId="Cmsor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Cmsor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Cmsor5">
    <w:name w:val="Heading 5"/>
    <w:basedOn w:val="Normal"/>
    <w:next w:val="Normal"/>
    <w:uiPriority w:val="9"/>
    <w:semiHidden/>
    <w:unhideWhenUsed/>
    <w:qFormat/>
    <w:pPr>
      <w:keepNext w:val="true"/>
      <w:keepLines/>
      <w:spacing w:before="240" w:after="80"/>
      <w:outlineLvl w:val="4"/>
    </w:pPr>
    <w:rPr>
      <w:color w:val="666666"/>
    </w:rPr>
  </w:style>
  <w:style w:type="paragraph" w:styleId="Cmsor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hivatkozs">
    <w:name w:val="Hyperlink"/>
    <w:basedOn w:val="DefaultParagraphFont"/>
    <w:uiPriority w:val="99"/>
    <w:unhideWhenUsed/>
    <w:rsid w:val="00ba1be1"/>
    <w:rPr>
      <w:color w:val="0000FF" w:themeColor="hyperlink"/>
      <w:u w:val="single"/>
    </w:rPr>
  </w:style>
  <w:style w:type="character" w:styleId="Cmsor1Char" w:customStyle="1">
    <w:name w:val="Címsor 1 Char"/>
    <w:basedOn w:val="DefaultParagraphFont"/>
    <w:uiPriority w:val="9"/>
    <w:qFormat/>
    <w:rsid w:val="00bc3beb"/>
    <w:rPr>
      <w:sz w:val="40"/>
      <w:szCs w:val="40"/>
    </w:rPr>
  </w:style>
  <w:style w:type="character" w:styleId="UnresolvedMention">
    <w:name w:val="Unresolved Mention"/>
    <w:basedOn w:val="DefaultParagraphFont"/>
    <w:uiPriority w:val="99"/>
    <w:semiHidden/>
    <w:unhideWhenUsed/>
    <w:qFormat/>
    <w:rsid w:val="004e00da"/>
    <w:rPr>
      <w:color w:val="605E5C"/>
      <w:shd w:fill="E1DFDD" w:val="clear"/>
    </w:rPr>
  </w:style>
  <w:style w:type="character" w:styleId="Jegyzkhivatkozs" w:customStyle="1">
    <w:name w:val="Jegyzékhivatkozás"/>
    <w:qFormat/>
    <w:rPr/>
  </w:style>
  <w:style w:type="character" w:styleId="LfejChar" w:customStyle="1">
    <w:name w:val="Élőfej Char"/>
    <w:basedOn w:val="DefaultParagraphFont"/>
    <w:uiPriority w:val="99"/>
    <w:qFormat/>
    <w:rsid w:val="00797e72"/>
    <w:rPr/>
  </w:style>
  <w:style w:type="character" w:styleId="LlbChar" w:customStyle="1">
    <w:name w:val="Élőláb Char"/>
    <w:basedOn w:val="DefaultParagraphFont"/>
    <w:uiPriority w:val="99"/>
    <w:qFormat/>
    <w:rsid w:val="00797e72"/>
    <w:rPr/>
  </w:style>
  <w:style w:type="character" w:styleId="Felsorolsjel">
    <w:name w:val="Felsorolásjel"/>
    <w:qFormat/>
    <w:rPr>
      <w:rFonts w:ascii="OpenSymbol" w:hAnsi="OpenSymbol" w:eastAsia="OpenSymbol" w:cs="OpenSymbol"/>
    </w:rPr>
  </w:style>
  <w:style w:type="paragraph" w:styleId="Cmsor" w:customStyle="1">
    <w:name w:val="Címsor"/>
    <w:basedOn w:val="Normal"/>
    <w:next w:val="Szvegtrzs"/>
    <w:qFormat/>
    <w:pPr>
      <w:keepNext w:val="true"/>
      <w:spacing w:before="240" w:after="120"/>
    </w:pPr>
    <w:rPr>
      <w:rFonts w:ascii="Liberation Sans" w:hAnsi="Liberation Sans" w:eastAsia="Noto Sans CJK SC" w:cs="FreeSans"/>
      <w:sz w:val="28"/>
      <w:szCs w:val="28"/>
    </w:rPr>
  </w:style>
  <w:style w:type="paragraph" w:styleId="Szvegtrzs">
    <w:name w:val="Body Text"/>
    <w:basedOn w:val="Normal"/>
    <w:pPr>
      <w:spacing w:before="0" w:after="140"/>
    </w:pPr>
    <w:rPr/>
  </w:style>
  <w:style w:type="paragraph" w:styleId="Lista">
    <w:name w:val="List"/>
    <w:basedOn w:val="Szvegtrzs"/>
    <w:pPr/>
    <w:rPr>
      <w:rFonts w:cs="FreeSans"/>
    </w:rPr>
  </w:style>
  <w:style w:type="paragraph" w:styleId="Felirat">
    <w:name w:val="Caption"/>
    <w:basedOn w:val="Normal"/>
    <w:qFormat/>
    <w:pPr>
      <w:suppressLineNumbers/>
      <w:spacing w:before="120" w:after="120"/>
    </w:pPr>
    <w:rPr>
      <w:rFonts w:cs="FreeSans"/>
      <w:i/>
      <w:iCs/>
      <w:sz w:val="24"/>
      <w:szCs w:val="24"/>
    </w:rPr>
  </w:style>
  <w:style w:type="paragraph" w:styleId="Trgymutat" w:customStyle="1">
    <w:name w:val="Tárgymutató"/>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Cm">
    <w:name w:val="Title"/>
    <w:basedOn w:val="Normal"/>
    <w:next w:val="Normal"/>
    <w:uiPriority w:val="10"/>
    <w:qFormat/>
    <w:pPr>
      <w:keepNext w:val="true"/>
      <w:keepLines/>
      <w:spacing w:before="0" w:after="60"/>
    </w:pPr>
    <w:rPr>
      <w:sz w:val="52"/>
      <w:szCs w:val="52"/>
    </w:rPr>
  </w:style>
  <w:style w:type="paragraph" w:styleId="Alcm">
    <w:name w:val="Subtitle"/>
    <w:basedOn w:val="Normal"/>
    <w:next w:val="Normal"/>
    <w:uiPriority w:val="11"/>
    <w:qFormat/>
    <w:pPr>
      <w:keepNext w:val="true"/>
      <w:keepLines/>
      <w:spacing w:before="0" w:after="320"/>
    </w:pPr>
    <w:rPr>
      <w:color w:val="666666"/>
      <w:sz w:val="30"/>
      <w:szCs w:val="30"/>
    </w:rPr>
  </w:style>
  <w:style w:type="paragraph" w:styleId="Indexheading">
    <w:name w:val="index heading"/>
    <w:basedOn w:val="Cmsor"/>
    <w:qFormat/>
    <w:pPr/>
    <w:rPr/>
  </w:style>
  <w:style w:type="paragraph" w:styleId="Trgymutat-cmsor">
    <w:name w:val="Index Heading"/>
    <w:basedOn w:val="Cmsor"/>
    <w:pPr/>
    <w:rPr/>
  </w:style>
  <w:style w:type="paragraph" w:styleId="Tartalomjegyzk-fejlc">
    <w:name w:val="TOC Heading"/>
    <w:basedOn w:val="Cmsor1"/>
    <w:next w:val="Normal"/>
    <w:uiPriority w:val="39"/>
    <w:unhideWhenUsed/>
    <w:qFormat/>
    <w:rsid w:val="00ba1be1"/>
    <w:pPr>
      <w:spacing w:lineRule="auto" w:line="259" w:before="240" w:after="0"/>
      <w:outlineLvl w:val="9"/>
    </w:pPr>
    <w:rPr>
      <w:rFonts w:ascii="Calibri" w:hAnsi="Calibri" w:eastAsia="" w:cs="" w:asciiTheme="majorHAnsi" w:cstheme="majorBidi" w:eastAsiaTheme="majorEastAsia" w:hAnsiTheme="majorHAnsi"/>
      <w:color w:val="365F91" w:themeColor="accent1" w:themeShade="bf"/>
      <w:sz w:val="32"/>
      <w:szCs w:val="32"/>
    </w:rPr>
  </w:style>
  <w:style w:type="paragraph" w:styleId="Tartalomjegyzk2">
    <w:name w:val="TOC 2"/>
    <w:basedOn w:val="Normal"/>
    <w:next w:val="Normal"/>
    <w:autoRedefine/>
    <w:uiPriority w:val="39"/>
    <w:unhideWhenUsed/>
    <w:rsid w:val="00ba1be1"/>
    <w:pPr>
      <w:spacing w:before="0" w:after="100"/>
      <w:ind w:left="220" w:hanging="0"/>
    </w:pPr>
    <w:rPr/>
  </w:style>
  <w:style w:type="paragraph" w:styleId="Tartalomjegyzk1">
    <w:name w:val="TOC 1"/>
    <w:basedOn w:val="Normal"/>
    <w:next w:val="Normal"/>
    <w:autoRedefine/>
    <w:uiPriority w:val="39"/>
    <w:unhideWhenUsed/>
    <w:rsid w:val="00774fb1"/>
    <w:pPr>
      <w:tabs>
        <w:tab w:val="clear" w:pos="720"/>
        <w:tab w:val="right" w:pos="9019" w:leader="dot"/>
      </w:tabs>
      <w:spacing w:before="0" w:after="100"/>
    </w:pPr>
    <w:rPr>
      <w:rFonts w:ascii="Times New Roman" w:hAnsi="Times New Roman" w:cs="Times New Roman"/>
    </w:rPr>
  </w:style>
  <w:style w:type="paragraph" w:styleId="ListParagraph">
    <w:name w:val="List Paragraph"/>
    <w:basedOn w:val="Normal"/>
    <w:uiPriority w:val="34"/>
    <w:qFormat/>
    <w:rsid w:val="0003777f"/>
    <w:pPr>
      <w:spacing w:before="0" w:after="0"/>
      <w:ind w:left="720" w:hanging="0"/>
      <w:contextualSpacing/>
    </w:pPr>
    <w:rPr/>
  </w:style>
  <w:style w:type="paragraph" w:styleId="Lfejsllb">
    <w:name w:val="Élőfej és élőláb"/>
    <w:basedOn w:val="Normal"/>
    <w:qFormat/>
    <w:pPr/>
    <w:rPr/>
  </w:style>
  <w:style w:type="paragraph" w:styleId="Lfej">
    <w:name w:val="Header"/>
    <w:basedOn w:val="Normal"/>
    <w:link w:val="LfejChar"/>
    <w:uiPriority w:val="99"/>
    <w:unhideWhenUsed/>
    <w:rsid w:val="00797e72"/>
    <w:pPr>
      <w:tabs>
        <w:tab w:val="clear" w:pos="720"/>
        <w:tab w:val="center" w:pos="4536" w:leader="none"/>
        <w:tab w:val="right" w:pos="9072" w:leader="none"/>
      </w:tabs>
      <w:spacing w:lineRule="auto" w:line="240"/>
    </w:pPr>
    <w:rPr/>
  </w:style>
  <w:style w:type="paragraph" w:styleId="Llb">
    <w:name w:val="Footer"/>
    <w:basedOn w:val="Normal"/>
    <w:link w:val="LlbChar"/>
    <w:uiPriority w:val="99"/>
    <w:unhideWhenUsed/>
    <w:rsid w:val="00797e72"/>
    <w:pPr>
      <w:tabs>
        <w:tab w:val="clear" w:pos="720"/>
        <w:tab w:val="center" w:pos="4536" w:leader="none"/>
        <w:tab w:val="right" w:pos="9072" w:leader="none"/>
      </w:tabs>
      <w:spacing w:lineRule="auto" w:line="240"/>
    </w:pPr>
    <w:rPr/>
  </w:style>
  <w:style w:type="paragraph" w:styleId="Elformzottszveg">
    <w:name w:val="Előformázott szöveg"/>
    <w:basedOn w:val="Normal"/>
    <w:qFormat/>
    <w:pPr>
      <w:spacing w:before="0" w:after="0"/>
    </w:pPr>
    <w:rPr>
      <w:rFonts w:ascii="Liberation Mono" w:hAnsi="Liberation Mono" w:eastAsia="Liberation Mono" w:cs="Liberation Mono"/>
      <w:sz w:val="20"/>
      <w:szCs w:val="20"/>
    </w:rPr>
  </w:style>
  <w:style w:type="paragraph" w:styleId="Listatartalom">
    <w:name w:val="Listatartalom"/>
    <w:basedOn w:val="Normal"/>
    <w:qFormat/>
    <w:pPr>
      <w:ind w:left="567" w:hanging="0"/>
    </w:pPr>
    <w:rPr/>
  </w:style>
  <w:style w:type="paragraph" w:styleId="Listafejlc">
    <w:name w:val="Listafejléc"/>
    <w:basedOn w:val="Normal"/>
    <w:next w:val="Listatartalom"/>
    <w:qFormat/>
    <w:pPr>
      <w:ind w:hanging="0"/>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en.wikipedia.org/wiki/Latin_epsilon" TargetMode="External"/><Relationship Id="rId5" Type="http://schemas.openxmlformats.org/officeDocument/2006/relationships/hyperlink" Target="https://doi.org/10.1111/j.1538-4632.1995.tb00338.x" TargetMode="External"/><Relationship Id="rId6" Type="http://schemas.openxmlformats.org/officeDocument/2006/relationships/hyperlink" Target="https://doi.org/10.1177/0160017602250972" TargetMode="External"/><Relationship Id="rId7" Type="http://schemas.openxmlformats.org/officeDocument/2006/relationships/hyperlink" Target="https://doi.org/10.1016/0166-0462(95)02111-6" TargetMode="External"/><Relationship Id="rId8" Type="http://schemas.openxmlformats.org/officeDocument/2006/relationships/hyperlink" Target="https://doi.org/10.18414/ksz.2016.12.1289" TargetMode="External"/><Relationship Id="rId9" Type="http://schemas.openxmlformats.org/officeDocument/2006/relationships/hyperlink" Target="https://doi.org/10.18414/ksz.2021.2.150" TargetMode="External"/><Relationship Id="rId10" Type="http://schemas.openxmlformats.org/officeDocument/2006/relationships/hyperlink" Target="https://www.mnb.hu/letoltes/laka-spiaci-jelente-s-2022-ma-jus-hun.pdf" TargetMode="External"/><Relationship Id="rId11" Type="http://schemas.openxmlformats.org/officeDocument/2006/relationships/hyperlink" Target="https://www.ksh.hu/statszemle_archive/2002/2002_04/2002_04_354.pdf" TargetMode="External"/><Relationship Id="rId12" Type="http://schemas.openxmlformats.org/officeDocument/2006/relationships/hyperlink" Target="https://map.ksh.hu/timea/?locale=hu" TargetMode="External"/><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A4F1-39F3-4B92-AA65-1474D4D2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Application>LibreOffice/7.5.2.2$Linux_X86_64 LibreOffice_project/53bb9681a964705cf672590721dbc85eb4d0c3a2</Application>
  <AppVersion>15.0000</AppVersion>
  <Pages>15</Pages>
  <Words>3629</Words>
  <Characters>23364</Characters>
  <CharactersWithSpaces>26670</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2023-06-04T09:09:00Z</dcterms:created>
  <dc:creator>Dittrich Levente</dc:creator>
  <dc:description/>
  <dc:language>hu-HU</dc:language>
  <cp:lastModifiedBy/>
  <cp:lastPrinted>2023-06-28T14:06:00Z</cp:lastPrinted>
  <dcterms:modified xsi:type="dcterms:W3CDTF">2024-01-25T15:25:17Z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