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库的get()用法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 = requests.get(url)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右边: 构造一个</w:t>
      </w:r>
      <w:r>
        <w:rPr>
          <w:rFonts w:hint="eastAsia"/>
          <w:lang w:val="en-US" w:eastAsia="zh-CN"/>
        </w:rPr>
        <w:t>向服务器请求资源的</w:t>
      </w:r>
      <w:r>
        <w:rPr>
          <w:rFonts w:hint="default" w:ascii="Consolas" w:hAnsi="Consolas" w:cs="Consolas"/>
          <w:b/>
          <w:bCs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左边：返回一个包含服务器资源的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对象包含爬虫返回的内容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91635" cy="1143000"/>
            <wp:effectExtent l="0" t="0" r="1841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这里的r即为Response对象（参见type(r)）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status_code为Response对象的一个属性，表示HTTP请求的返回状态，200表示连接成功，404表示失败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对象的属性</w:t>
      </w: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属性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r.status_code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HTTP请求的</w:t>
            </w:r>
            <w:r>
              <w:rPr>
                <w:rFonts w:hint="eastAsia" w:ascii="Consolas" w:hAnsi="Consolas" w:cs="Consolas"/>
                <w:lang w:val="en-US" w:eastAsia="zh-CN"/>
              </w:rPr>
              <w:t>返回状态，200表示连接成功，404表示失败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r.text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HTTP相应内容的字符串形式，即url对应的页面内容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r.encoding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从HTTP header中猜测的响应内容编码方式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r.apparent_coding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从内容中分析出的响应内容编码方式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r.content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HTTP响应内容的二进制形式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2484120"/>
            <wp:effectExtent l="0" t="0" r="5080" b="1143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2152650" cy="7239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注意：r.encoding只是从header中猜测响应内容的编码方式，r.text根据r.encoding显示网页内容，则此时可能出现不了中文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而r</w:t>
      </w:r>
      <w:r>
        <w:rPr>
          <w:rFonts w:hint="eastAsia" w:ascii="Consolas" w:hAnsi="Consolas" w:cs="Consolas"/>
          <w:vertAlign w:val="baseline"/>
          <w:lang w:val="en-US" w:eastAsia="zh-CN"/>
        </w:rPr>
        <w:t>.apparent_coding是根据网页内容分析出编码方式，所以将</w:t>
      </w:r>
      <w:r>
        <w:rPr>
          <w:rFonts w:hint="eastAsia" w:ascii="Consolas" w:hAnsi="Consolas" w:cs="Consolas"/>
          <w:lang w:val="en-US" w:eastAsia="zh-CN"/>
        </w:rPr>
        <w:t>r.encoding改为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utf-8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后，可以显示出中文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865" cy="2365375"/>
            <wp:effectExtent l="0" t="0" r="6985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爬取网页的通用代码框架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get_HTML_Text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try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url,</w:t>
            </w:r>
            <w:r>
              <w:rPr>
                <w:rFonts w:hint="default" w:ascii="Consolas" w:hAnsi="Consolas" w:eastAsia="Consolas" w:cs="Consolas"/>
                <w:color w:val="097299"/>
                <w:sz w:val="21"/>
                <w:szCs w:val="21"/>
                <w:shd w:val="clear" w:fill="404040"/>
              </w:rPr>
              <w:t>timeout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r.raise_for_status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r.encoding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r.apparent_encoding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except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产生异常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__name__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==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"__main__"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url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get_HTML_Text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HTTP协议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 ：Hpertext Transfer Protocol ,超文本传输协议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HTTP是一个基于“请求与响应”模式的、无状态的应用层协议，HTTP协议采用URL作为定位网络资源的标识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URL：URL是通过HTTP协议存取资源的Internet路径，一个URL对应一个数据资源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HTTP协议对资源的操作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9"/>
        <w:gridCol w:w="7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请求获取URL位置的资源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请求获取URL位置资源的相映消息报告，即获得该资源的头部信息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请求向URL位置资源后附加新的数据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PUT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请求向URL位置存储一个资源，覆盖原URL位置的资源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PATCH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请求局部更新URL位置的资源，即改变该处资源的部分内容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7103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请求删除URL位置存储的资源</w:t>
            </w:r>
          </w:p>
        </w:tc>
      </w:tr>
    </w:tbl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HTTP协议与Requests库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HTTP协议方法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Requests库方法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功能一致性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requests.get()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requests.head()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requests.post()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requests.put()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PATCH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requests.patch()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requests.delete()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</w:tbl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2.</w:t>
      </w: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库的head()用法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r.headers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{'Server': 'bfe/1.0.8.18', 'Date': 'Thu, 23 Mar 2017 14:16:38 GMT', 'Content-Type': 'text/html', 'Last-Modified': 'Mon, 13 Jun 2016 02:50:45 GMT', 'Connection': 'Keep-Alive', 'Cache-Control': 'private, no-cache, no-store, proxy-revalidate, no-transform', 'Pragma': 'no-cache', 'Content-Encoding': 'gzip'}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注意只用head方法，r.text什么都没有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r.encoding,r.apparent_encoding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ISO-8859-1 None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注意只用head方法，r.apparent_encoding为None</w:t>
      </w:r>
    </w:p>
    <w:p>
      <w:pPr>
        <w:numPr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库的post()用法</w:t>
      </w:r>
    </w:p>
    <w:p>
      <w:pPr>
        <w:numPr>
          <w:numId w:val="0"/>
        </w:num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????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B411"/>
    <w:multiLevelType w:val="singleLevel"/>
    <w:tmpl w:val="58CAB4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5ED4"/>
    <w:rsid w:val="341A0509"/>
    <w:rsid w:val="540C505E"/>
    <w:rsid w:val="73B34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2017-03-23T15:27:58Z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