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practice, the subsidy is only available for a 10-year period following start of service (2022-2032).  I haven't represented that besides applying the tax credit until GCAM year 2035. 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Next step:</w:t>
      </w:r>
      <w:r w:rsidDel="00000000" w:rsidR="00000000" w:rsidRPr="00000000">
        <w:rPr>
          <w:rtl w:val="0"/>
        </w:rPr>
        <w:t xml:space="preserve"> ?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There is a big range in the value of the 45Q tax credit (ccs) related to whether the project pays prevailing wages. I make the simplifying assumption that all projects pay prevailing wages (same as REPEAT), at 2.6 cents/kWh for PTC and 30% for ITC.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Next step: </w:t>
      </w:r>
      <w:r w:rsidDel="00000000" w:rsidR="00000000" w:rsidRPr="00000000">
        <w:rPr>
          <w:rtl w:val="0"/>
        </w:rPr>
        <w:t xml:space="preserve">Make a Low and high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Commercial solar is now eligible for PTC, so solar technologies receive ITC for GCAM year 2020 only. After 2020, they receive PTC only.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However, rooftop solar still receives ITC for all years 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Technology neutral credits: I make a simplifying assumption that after 2025, ITC technologies continue to receive ITC, and PTC technologies continue to receive PTC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Next step: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Calculate ITC and PTC to see which one makes more sense for each technology. 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 nuclear for ITC? (Eligible after 2025)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apply a 7.5% decrease from the actual credit value due to the transferability provision (similar to REPEAT and Energy Innovation’s methodologies)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Next step: </w:t>
      </w:r>
      <w:r w:rsidDel="00000000" w:rsidR="00000000" w:rsidRPr="00000000">
        <w:rPr>
          <w:rtl w:val="0"/>
        </w:rPr>
        <w:t xml:space="preserve">Make</w:t>
      </w:r>
      <w:r w:rsidDel="00000000" w:rsidR="00000000" w:rsidRPr="00000000">
        <w:rPr>
          <w:rtl w:val="0"/>
        </w:rPr>
        <w:t xml:space="preserve"> a low (5%) and high (10%) case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