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There is a big range in the value of the 45Q tax credit related to whether the project pays prevailing wages.  If paying prevailing wages, the credit is $85/t for sequestration for CCS and $180/t for DAC; if not, the credit is $17/t for CCS and and $36/t for DAC.  Because of this, I've created three cases - high (assuming all projects pays prevailing wages), mid (assuming 50% of projects pay prevailing wages and 50% don't), and low (assuming no projects pay prevailing wages).</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To be conservative, the first year I made the credit available is 2030.  I'm worried that introducing the credit in 2025 will induce more CCS / DAC in GCAM than can be realistically built in the next 2 years.</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The simplest way to implement this is to apply the 45Q credit in the carbon storage sector.  That's what I've done here.  However, DAC receives a higher credit than CCS, so I apply an additional credit to DAC technologies (equal to the DAC credit minus the credit applied in carbon storage, which DAC techs will also see).</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As with the Clean Hydrogen Subsidy, the 45Q tax credit phases out - it is only paid for the first 12 years of project operations.  In the current implementation, DAC vintages built in the relevant time frame (2030 and 2035 model periods) get the credit in every year they operate.  Conversely, carbon storage techs are not vintaged, so the credit for CCS techs goes away after 2040.  Again, we may want to think through these policy phaseout issues more broadly.</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I haven't tested these yet, so it's definitely possible there are bugs.  I made these consistent with our EMF 37 workspace, which a version of DAC made prior to core model review.  Some of the DAC technology names may have been changed in core model review and thus inconsistent with newer workspaces (GCAM v5.4 +).  Let me know if you find any bugs and I'll help sort them out. [</w:t>
      </w:r>
      <w:r w:rsidDel="00000000" w:rsidR="00000000" w:rsidRPr="00000000">
        <w:rPr>
          <w:color w:val="0000ff"/>
          <w:rtl w:val="0"/>
        </w:rPr>
        <w:t xml:space="preserve">Update Oct 7 2022 YangOu: the </w:t>
      </w:r>
      <w:r w:rsidDel="00000000" w:rsidR="00000000" w:rsidRPr="00000000">
        <w:rPr>
          <w:color w:val="ff0000"/>
          <w:rtl w:val="0"/>
        </w:rPr>
        <w:t xml:space="preserve">45Q_R.workspace_GCAMUSAv6.zip</w:t>
      </w:r>
      <w:r w:rsidDel="00000000" w:rsidR="00000000" w:rsidRPr="00000000">
        <w:rPr>
          <w:color w:val="0000ff"/>
          <w:rtl w:val="0"/>
        </w:rPr>
        <w:t xml:space="preserve"> contains the updated DAC file names in input files from GCAM-USA v6, the resulting XMLs are included in </w:t>
      </w:r>
      <w:r w:rsidDel="00000000" w:rsidR="00000000" w:rsidRPr="00000000">
        <w:rPr>
          <w:color w:val="ff0000"/>
          <w:rtl w:val="0"/>
        </w:rPr>
        <w:t xml:space="preserve">45Q_GCAMUSAv6.zip</w:t>
      </w:r>
      <w:r w:rsidDel="00000000" w:rsidR="00000000" w:rsidRPr="00000000">
        <w:rPr>
          <w:color w:val="0000ff"/>
          <w:rtl w:val="0"/>
        </w:rPr>
        <w:t xml:space="preserve"> </w:t>
      </w:r>
      <w:r w:rsidDel="00000000" w:rsidR="00000000" w:rsidRPr="00000000">
        <w:rPr>
          <w:rtl w:val="0"/>
        </w:rPr>
        <w:t xml:space="preserv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Finally, these files won't do anything in a scenario without a carbon price.  </w:t>
      </w:r>
      <w:r w:rsidDel="00000000" w:rsidR="00000000" w:rsidRPr="00000000">
        <w:rPr>
          <w:b w:val="1"/>
          <w:rtl w:val="0"/>
        </w:rPr>
        <w:t xml:space="preserve">To run them in a "Ref" scenario, you'll need to introduce a $1/tC carbon price so that CCS can deploy (</w:t>
      </w:r>
      <w:r w:rsidDel="00000000" w:rsidR="00000000" w:rsidRPr="00000000">
        <w:rPr>
          <w:b w:val="1"/>
          <w:color w:val="0000ff"/>
          <w:rtl w:val="0"/>
        </w:rPr>
        <w:t xml:space="preserve">carbon_tax_GCAM_USA_0p01.xml as an example</w:t>
      </w:r>
      <w:r w:rsidDel="00000000" w:rsidR="00000000" w:rsidRPr="00000000">
        <w:rPr>
          <w:b w:val="1"/>
          <w:rtl w:val="0"/>
        </w:rPr>
        <w:t xml:space="preserve">).</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Could potentially use an even lower tax, like $.01, which would virtually have no impact other than to tell the code not to apply the $10,000/t cost adder to carbon storage which prevents CCS from coming in in the ref scenario.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