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b w:val="1"/>
          <w:u w:val="single"/>
        </w:rPr>
      </w:pPr>
      <w:r w:rsidDel="00000000" w:rsidR="00000000" w:rsidRPr="00000000">
        <w:rPr>
          <w:rtl w:val="0"/>
        </w:rPr>
      </w:r>
    </w:p>
    <w:p w:rsidR="00000000" w:rsidDel="00000000" w:rsidP="00000000" w:rsidRDefault="00000000" w:rsidRPr="00000000" w14:paraId="00000002">
      <w:pPr>
        <w:rPr>
          <w:b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b w:val="1"/>
          <w:u w:val="single"/>
          <w:rtl w:val="0"/>
        </w:rPr>
        <w:t xml:space="preserve">September 14, 2022</w:t>
      </w:r>
      <w:r w:rsidDel="00000000" w:rsidR="00000000" w:rsidRPr="00000000">
        <w:rPr>
          <w:rtl w:val="0"/>
        </w:rPr>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Same notes as below still apply.  However, I’ve added low/medium/high cases similar to 45Q.  Like 45Q, t</w:t>
      </w:r>
      <w:r w:rsidDel="00000000" w:rsidR="00000000" w:rsidRPr="00000000">
        <w:rPr>
          <w:rtl w:val="0"/>
        </w:rPr>
        <w:t xml:space="preserve">here is a big range in the value of the clean H2 subsidy depending on whether the project pays prevailing wages.  For the three cases, high assumes that all projects pay prevailing wages, mid assumes that 50% of projects pay prevailing wages and 50% don't, and low assumes no projects pay prevailing wages.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u w:val="single"/>
          <w:rtl w:val="0"/>
        </w:rPr>
        <w:t xml:space="preserve">September 9, 2022 (GCAM modeling summary for spreadsheet)</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Subsidy (negative non-energy cost) is applied to H2 production technologies.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We assumed hydrogen with CCS receives a greater subsidy from 45Q than 45V (Clean Hydrogen Subsidy) and claims 45Q in lieu of 45V.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Policy is framed in terms of life cycle GHG emissions.  To start we've ignored this for all techs except electrolysis from grid electricity (not dedicated wind or solar).  In theory this could matter for bio H2; it also matters for fossil fuels, but fossil H2 w/o CCS doesn't qualify without considering upstream emissions, and fossil H2 w/ CCS claims 45Q instead of 45V.</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For grid electrolysis, we take 2020 (national average) grid CO2 intensity from EIA (https://www.eia.gov/tools/faqs/faq.php?id=74&amp;t=11) and assume a linear future emissions reduction to 90% below 2020 levels in 2035.  These assumptions result in no credit for H2 from grid electrolysis in 2025 or 2030, with a partial credit in 2035.</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In practice, the subsidy is only available for a 10-year period following start of service.  The current implementation does not reflect that phaseout.  In the current implementation, vintages built in the relevant model periods get the credit in every year they operate.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u w:val="single"/>
        </w:rPr>
      </w:pPr>
      <w:r w:rsidDel="00000000" w:rsidR="00000000" w:rsidRPr="00000000">
        <w:rPr>
          <w:b w:val="1"/>
          <w:u w:val="single"/>
          <w:rtl w:val="0"/>
        </w:rPr>
        <w:t xml:space="preserve">August 25, 2022</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In practice, the subsidy is only available for a 10-year period following start of service.  I haven't done anything to reflect that phaseout.  In the current implementation, vintages built in the relevant time frame get the credit in every year they operate.  This phaseout issues is something we'll need to think about for several policies (45Q, ITC, PTC, etc.).</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H2 + CCS techs can't claim both 45Q and the Clean Hydrogen Subsidy.  My back of the envelope math suggests that 45Q is more valuable, so I've not given the H2 + CCS techs the Clean Hydrogen Subsidy.</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The GCAM-USA is based on older versions (pre GCAM v6.0) of GCAM-USA where hydrogen is still in the USA region and several subsectors (electrolysis, solar, wind) are unavailable.  The files won't work with GCAM-USA v6.0.</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 haven't tested these yet, so it's definitely possible there are bugs.  Let me know if you find any and I'll help sort them out.</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Pre-GCAM v6.0, GCAM-USA doesn't have solar/wind/electrolysis because H2 is represented at the USA level and the USA region doesn't have solar / wind resources or electricity (these inputs would have to be taken from a specific state).  Let me know if the version of GCAM-USA you're using is structured differently, and I can adjust the file accordingly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