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750DC" w14:textId="77777777" w:rsidR="00675CA4" w:rsidRDefault="00675CA4" w:rsidP="00FA2EDD">
      <w:pPr>
        <w:rPr>
          <w:rFonts w:ascii="Cambria" w:hAnsi="Cambria" w:cs="Times New Roman"/>
          <w:b/>
          <w:bCs/>
          <w:sz w:val="22"/>
          <w:szCs w:val="22"/>
        </w:rPr>
      </w:pPr>
      <w:r>
        <w:rPr>
          <w:rFonts w:ascii="Cambria" w:hAnsi="Cambria" w:cs="Times New Roman"/>
          <w:b/>
          <w:bCs/>
          <w:sz w:val="22"/>
          <w:szCs w:val="22"/>
        </w:rPr>
        <w:t xml:space="preserve">Postoperative </w:t>
      </w:r>
      <w:proofErr w:type="spellStart"/>
      <w:r>
        <w:rPr>
          <w:rFonts w:ascii="Cambria" w:hAnsi="Cambria" w:cs="Times New Roman"/>
          <w:b/>
          <w:bCs/>
          <w:sz w:val="22"/>
          <w:szCs w:val="22"/>
        </w:rPr>
        <w:t>Thromboprophylaxis</w:t>
      </w:r>
      <w:proofErr w:type="spellEnd"/>
    </w:p>
    <w:p w14:paraId="0FD5F219" w14:textId="77777777" w:rsidR="00675CA4" w:rsidRDefault="00675CA4" w:rsidP="00675CA4">
      <w:pPr>
        <w:pStyle w:val="ListParagraph"/>
        <w:numPr>
          <w:ilvl w:val="0"/>
          <w:numId w:val="2"/>
        </w:numPr>
        <w:rPr>
          <w:rFonts w:ascii="Cambria" w:hAnsi="Cambria" w:cs="Times New Roman"/>
          <w:bCs/>
          <w:sz w:val="22"/>
          <w:szCs w:val="22"/>
        </w:rPr>
      </w:pPr>
      <w:r w:rsidRPr="00675CA4">
        <w:rPr>
          <w:rFonts w:ascii="Cambria" w:hAnsi="Cambria" w:cs="Times New Roman"/>
          <w:bCs/>
          <w:sz w:val="22"/>
          <w:szCs w:val="22"/>
        </w:rPr>
        <w:t>High-risk patients</w:t>
      </w:r>
    </w:p>
    <w:p w14:paraId="1DB56B52" w14:textId="77777777" w:rsidR="00675CA4" w:rsidRPr="00675CA4" w:rsidRDefault="00675CA4" w:rsidP="00675CA4">
      <w:pPr>
        <w:pStyle w:val="ListParagraph"/>
        <w:numPr>
          <w:ilvl w:val="1"/>
          <w:numId w:val="2"/>
        </w:numPr>
        <w:rPr>
          <w:rFonts w:ascii="Cambria" w:hAnsi="Cambria" w:cs="Times New Roman"/>
          <w:bCs/>
          <w:sz w:val="22"/>
          <w:szCs w:val="22"/>
        </w:rPr>
      </w:pPr>
      <w:r>
        <w:rPr>
          <w:rFonts w:eastAsia="Times New Roman" w:cs="Times New Roman"/>
        </w:rPr>
        <w:t>Based on this risk assessment, the patient would be considered to be at high risk for VTE by the American College of Chest Physicians (ACCP) classification.</w:t>
      </w:r>
    </w:p>
    <w:p w14:paraId="53E2F225" w14:textId="77777777" w:rsidR="00675CA4" w:rsidRPr="00675CA4" w:rsidRDefault="00675CA4" w:rsidP="00675CA4">
      <w:pPr>
        <w:pStyle w:val="ListParagraph"/>
        <w:numPr>
          <w:ilvl w:val="1"/>
          <w:numId w:val="2"/>
        </w:numPr>
        <w:rPr>
          <w:rFonts w:ascii="Cambria" w:hAnsi="Cambria" w:cs="Times New Roman"/>
          <w:bCs/>
          <w:sz w:val="22"/>
          <w:szCs w:val="22"/>
        </w:rPr>
      </w:pPr>
      <w:r>
        <w:rPr>
          <w:rFonts w:eastAsia="Times New Roman" w:cs="Times New Roman"/>
        </w:rPr>
        <w:t>In the absence of increased bleeding risk, patients in this risk class should receive a combination of mechanical and pharmacologic prophylaxis</w:t>
      </w:r>
    </w:p>
    <w:p w14:paraId="4470489D" w14:textId="77777777" w:rsidR="00675CA4" w:rsidRPr="007D5556" w:rsidRDefault="00675CA4" w:rsidP="00675CA4">
      <w:pPr>
        <w:pStyle w:val="ListParagraph"/>
        <w:numPr>
          <w:ilvl w:val="2"/>
          <w:numId w:val="2"/>
        </w:numPr>
        <w:rPr>
          <w:rFonts w:ascii="Cambria" w:hAnsi="Cambria" w:cs="Times New Roman"/>
          <w:bCs/>
          <w:sz w:val="22"/>
          <w:szCs w:val="22"/>
        </w:rPr>
      </w:pPr>
      <w:r>
        <w:rPr>
          <w:rFonts w:eastAsia="Times New Roman" w:cs="Times New Roman"/>
        </w:rPr>
        <w:t>Often mechanical for the first 24 hours and pharmacologic starting 24 hours after surgery</w:t>
      </w:r>
    </w:p>
    <w:p w14:paraId="229E7A57" w14:textId="77777777" w:rsidR="007D5556" w:rsidRPr="007D5556" w:rsidRDefault="007D5556" w:rsidP="007D5556">
      <w:pPr>
        <w:pStyle w:val="ListParagraph"/>
        <w:numPr>
          <w:ilvl w:val="1"/>
          <w:numId w:val="2"/>
        </w:numPr>
        <w:rPr>
          <w:rFonts w:ascii="Cambria" w:hAnsi="Cambria" w:cs="Times New Roman"/>
          <w:bCs/>
          <w:sz w:val="22"/>
          <w:szCs w:val="22"/>
        </w:rPr>
      </w:pPr>
      <w:r>
        <w:rPr>
          <w:rFonts w:eastAsia="Times New Roman" w:cs="Times New Roman"/>
        </w:rPr>
        <w:t>Pharmacologic or mechanical prophylaxis alone may be appropriate in patients judged to be at moderate risk for VTE</w:t>
      </w:r>
    </w:p>
    <w:p w14:paraId="34C82423" w14:textId="77777777" w:rsidR="007D5556" w:rsidRPr="003563DC" w:rsidRDefault="007D5556" w:rsidP="007D5556">
      <w:pPr>
        <w:pStyle w:val="ListParagraph"/>
        <w:numPr>
          <w:ilvl w:val="1"/>
          <w:numId w:val="2"/>
        </w:numPr>
        <w:rPr>
          <w:rFonts w:ascii="Cambria" w:hAnsi="Cambria" w:cs="Times New Roman"/>
          <w:bCs/>
          <w:sz w:val="22"/>
          <w:szCs w:val="22"/>
        </w:rPr>
      </w:pPr>
      <w:bookmarkStart w:id="0" w:name="_GoBack"/>
      <w:bookmarkEnd w:id="0"/>
      <w:r>
        <w:rPr>
          <w:rFonts w:eastAsia="Times New Roman" w:cs="Times New Roman"/>
        </w:rPr>
        <w:t>Mechanical prophylaxis alone may also be indicated in patients judged to be at low risk for VTE as well as in high risk patients, who are determined to be at increased risk for bleeding</w:t>
      </w:r>
    </w:p>
    <w:p w14:paraId="7D1F25F5" w14:textId="77777777" w:rsidR="00C010EE" w:rsidRDefault="00C010EE" w:rsidP="00C010EE">
      <w:pPr>
        <w:rPr>
          <w:rFonts w:eastAsia="Times New Roman" w:cs="Times New Roman"/>
          <w:b/>
        </w:rPr>
      </w:pPr>
    </w:p>
    <w:p w14:paraId="2F0020A4" w14:textId="77777777" w:rsidR="003563DC" w:rsidRPr="00C010EE" w:rsidRDefault="003563DC" w:rsidP="00C010EE">
      <w:pPr>
        <w:rPr>
          <w:rFonts w:ascii="Cambria" w:hAnsi="Cambria" w:cs="Times New Roman"/>
          <w:b/>
          <w:bCs/>
          <w:sz w:val="22"/>
          <w:szCs w:val="22"/>
        </w:rPr>
      </w:pPr>
      <w:r w:rsidRPr="00C010EE">
        <w:rPr>
          <w:rFonts w:eastAsia="Times New Roman" w:cs="Times New Roman"/>
          <w:b/>
        </w:rPr>
        <w:t>Patients taking anti-platelet or anti-coagulants</w:t>
      </w:r>
    </w:p>
    <w:p w14:paraId="32F0F823" w14:textId="77777777" w:rsidR="003563DC" w:rsidRPr="003563DC" w:rsidRDefault="003563DC" w:rsidP="00C010EE">
      <w:pPr>
        <w:pStyle w:val="ListParagraph"/>
        <w:numPr>
          <w:ilvl w:val="0"/>
          <w:numId w:val="2"/>
        </w:numPr>
        <w:rPr>
          <w:rFonts w:ascii="Cambria" w:hAnsi="Cambria" w:cs="Times New Roman"/>
          <w:bCs/>
          <w:sz w:val="22"/>
          <w:szCs w:val="22"/>
        </w:rPr>
      </w:pPr>
      <w:r>
        <w:rPr>
          <w:rFonts w:eastAsia="Times New Roman" w:cs="Times New Roman"/>
        </w:rPr>
        <w:t>Risk Stratify Patients</w:t>
      </w:r>
    </w:p>
    <w:p w14:paraId="616C3845" w14:textId="77777777" w:rsidR="003563DC" w:rsidRPr="003563DC" w:rsidRDefault="003563DC" w:rsidP="00C010EE">
      <w:pPr>
        <w:pStyle w:val="ListParagraph"/>
        <w:numPr>
          <w:ilvl w:val="1"/>
          <w:numId w:val="2"/>
        </w:numPr>
        <w:rPr>
          <w:rFonts w:ascii="Cambria" w:hAnsi="Cambria" w:cs="Times New Roman"/>
          <w:bCs/>
          <w:sz w:val="22"/>
          <w:szCs w:val="22"/>
        </w:rPr>
      </w:pPr>
      <w:r>
        <w:rPr>
          <w:rFonts w:eastAsia="Times New Roman" w:cs="Times New Roman"/>
        </w:rPr>
        <w:t>High - &gt;10% annual thrombotic risk</w:t>
      </w:r>
    </w:p>
    <w:p w14:paraId="0FB79BF1" w14:textId="77777777" w:rsidR="003563DC" w:rsidRDefault="003563DC" w:rsidP="00C010EE">
      <w:pPr>
        <w:pStyle w:val="ListParagraph"/>
        <w:numPr>
          <w:ilvl w:val="2"/>
          <w:numId w:val="2"/>
        </w:numPr>
        <w:rPr>
          <w:rFonts w:ascii="Cambria" w:hAnsi="Cambria" w:cs="Times New Roman"/>
          <w:bCs/>
          <w:sz w:val="22"/>
          <w:szCs w:val="22"/>
        </w:rPr>
      </w:pPr>
      <w:r w:rsidRPr="003563DC">
        <w:rPr>
          <w:rFonts w:ascii="Cambria" w:hAnsi="Cambria" w:cs="Times New Roman"/>
          <w:bCs/>
          <w:sz w:val="22"/>
          <w:szCs w:val="22"/>
        </w:rPr>
        <w:t>Individuals</w:t>
      </w:r>
      <w:r>
        <w:rPr>
          <w:rFonts w:ascii="Cambria" w:hAnsi="Cambria" w:cs="Times New Roman"/>
          <w:bCs/>
          <w:sz w:val="22"/>
          <w:szCs w:val="22"/>
        </w:rPr>
        <w:t xml:space="preserve"> with mechanical mitral valves</w:t>
      </w:r>
    </w:p>
    <w:p w14:paraId="11E61D1C" w14:textId="77777777" w:rsidR="003563DC" w:rsidRDefault="003563DC" w:rsidP="00C010EE">
      <w:pPr>
        <w:pStyle w:val="ListParagraph"/>
        <w:numPr>
          <w:ilvl w:val="2"/>
          <w:numId w:val="2"/>
        </w:numPr>
        <w:rPr>
          <w:rFonts w:ascii="Cambria" w:hAnsi="Cambria" w:cs="Times New Roman"/>
          <w:bCs/>
          <w:sz w:val="22"/>
          <w:szCs w:val="22"/>
        </w:rPr>
      </w:pPr>
      <w:proofErr w:type="gramStart"/>
      <w:r w:rsidRPr="003563DC">
        <w:rPr>
          <w:rFonts w:ascii="Cambria" w:hAnsi="Cambria" w:cs="Times New Roman"/>
          <w:bCs/>
          <w:sz w:val="22"/>
          <w:szCs w:val="22"/>
        </w:rPr>
        <w:t>atrial</w:t>
      </w:r>
      <w:proofErr w:type="gramEnd"/>
      <w:r w:rsidRPr="003563DC">
        <w:rPr>
          <w:rFonts w:ascii="Cambria" w:hAnsi="Cambria" w:cs="Times New Roman"/>
          <w:bCs/>
          <w:sz w:val="22"/>
          <w:szCs w:val="22"/>
        </w:rPr>
        <w:t xml:space="preserve"> fibrillation and CHADS2 scores of 5 or 6, </w:t>
      </w:r>
    </w:p>
    <w:p w14:paraId="43F76342" w14:textId="77777777" w:rsidR="003563DC" w:rsidRPr="003563DC" w:rsidRDefault="003563DC" w:rsidP="00C010EE">
      <w:pPr>
        <w:pStyle w:val="ListParagraph"/>
        <w:numPr>
          <w:ilvl w:val="2"/>
          <w:numId w:val="2"/>
        </w:numPr>
        <w:rPr>
          <w:rFonts w:ascii="Cambria" w:hAnsi="Cambria" w:cs="Times New Roman"/>
          <w:bCs/>
          <w:sz w:val="22"/>
          <w:szCs w:val="22"/>
        </w:rPr>
      </w:pPr>
      <w:proofErr w:type="gramStart"/>
      <w:r w:rsidRPr="003563DC">
        <w:rPr>
          <w:rFonts w:ascii="Cambria" w:hAnsi="Cambria" w:cs="Times New Roman"/>
          <w:bCs/>
          <w:sz w:val="22"/>
          <w:szCs w:val="22"/>
        </w:rPr>
        <w:t>recent</w:t>
      </w:r>
      <w:proofErr w:type="gramEnd"/>
      <w:r w:rsidRPr="003563DC">
        <w:rPr>
          <w:rFonts w:ascii="Cambria" w:hAnsi="Cambria" w:cs="Times New Roman"/>
          <w:bCs/>
          <w:sz w:val="22"/>
          <w:szCs w:val="22"/>
        </w:rPr>
        <w:t xml:space="preserve"> stroke or venous thromboembolism</w:t>
      </w:r>
      <w:r>
        <w:rPr>
          <w:rFonts w:ascii="Cambria" w:hAnsi="Cambria" w:cs="Times New Roman"/>
          <w:bCs/>
          <w:sz w:val="22"/>
          <w:szCs w:val="22"/>
        </w:rPr>
        <w:t xml:space="preserve"> (VTE) are considered high risk</w:t>
      </w:r>
    </w:p>
    <w:p w14:paraId="04A7BBA3" w14:textId="77777777" w:rsidR="003563DC" w:rsidRPr="003563DC" w:rsidRDefault="003563DC" w:rsidP="00C010EE">
      <w:pPr>
        <w:pStyle w:val="ListParagraph"/>
        <w:numPr>
          <w:ilvl w:val="1"/>
          <w:numId w:val="2"/>
        </w:numPr>
        <w:rPr>
          <w:rFonts w:ascii="Cambria" w:hAnsi="Cambria" w:cs="Times New Roman"/>
          <w:bCs/>
          <w:sz w:val="22"/>
          <w:szCs w:val="22"/>
        </w:rPr>
      </w:pPr>
      <w:r>
        <w:rPr>
          <w:rFonts w:eastAsia="Times New Roman" w:cs="Times New Roman"/>
        </w:rPr>
        <w:t>Moderate – 5-10% annual risk</w:t>
      </w:r>
    </w:p>
    <w:p w14:paraId="31D61BD5" w14:textId="77777777" w:rsidR="003563DC" w:rsidRPr="003563DC" w:rsidRDefault="003563DC" w:rsidP="00C010EE">
      <w:pPr>
        <w:pStyle w:val="ListParagraph"/>
        <w:numPr>
          <w:ilvl w:val="1"/>
          <w:numId w:val="2"/>
        </w:numPr>
        <w:rPr>
          <w:rFonts w:ascii="Cambria" w:hAnsi="Cambria" w:cs="Times New Roman"/>
          <w:bCs/>
          <w:sz w:val="22"/>
          <w:szCs w:val="22"/>
        </w:rPr>
      </w:pPr>
      <w:r>
        <w:rPr>
          <w:rFonts w:eastAsia="Times New Roman" w:cs="Times New Roman"/>
        </w:rPr>
        <w:t>Low - &lt;5% annual risk</w:t>
      </w:r>
    </w:p>
    <w:p w14:paraId="7DF67605" w14:textId="77777777" w:rsidR="00C010EE" w:rsidRDefault="00C010EE" w:rsidP="00C010EE">
      <w:pPr>
        <w:pStyle w:val="ListParagraph"/>
        <w:numPr>
          <w:ilvl w:val="2"/>
          <w:numId w:val="2"/>
        </w:numPr>
        <w:rPr>
          <w:rFonts w:ascii="Cambria" w:hAnsi="Cambria" w:cs="Times New Roman"/>
          <w:bCs/>
          <w:sz w:val="22"/>
          <w:szCs w:val="22"/>
        </w:rPr>
      </w:pPr>
      <w:r w:rsidRPr="00C010EE">
        <w:rPr>
          <w:rFonts w:ascii="Cambria" w:hAnsi="Cambria" w:cs="Times New Roman"/>
          <w:bCs/>
          <w:sz w:val="22"/>
          <w:szCs w:val="22"/>
        </w:rPr>
        <w:t xml:space="preserve">Those with atrial fibrillation and CHADS2 scores of 0-2 or </w:t>
      </w:r>
    </w:p>
    <w:p w14:paraId="731A8E22" w14:textId="77777777" w:rsidR="003563DC" w:rsidRDefault="00C010EE" w:rsidP="00C010EE">
      <w:pPr>
        <w:pStyle w:val="ListParagraph"/>
        <w:numPr>
          <w:ilvl w:val="2"/>
          <w:numId w:val="2"/>
        </w:numPr>
        <w:rPr>
          <w:rFonts w:ascii="Cambria" w:hAnsi="Cambria" w:cs="Times New Roman"/>
          <w:bCs/>
          <w:sz w:val="22"/>
          <w:szCs w:val="22"/>
        </w:rPr>
      </w:pPr>
      <w:proofErr w:type="gramStart"/>
      <w:r w:rsidRPr="00C010EE">
        <w:rPr>
          <w:rFonts w:ascii="Cambria" w:hAnsi="Cambria" w:cs="Times New Roman"/>
          <w:bCs/>
          <w:sz w:val="22"/>
          <w:szCs w:val="22"/>
        </w:rPr>
        <w:t>a</w:t>
      </w:r>
      <w:proofErr w:type="gramEnd"/>
      <w:r w:rsidRPr="00C010EE">
        <w:rPr>
          <w:rFonts w:ascii="Cambria" w:hAnsi="Cambria" w:cs="Times New Roman"/>
          <w:bCs/>
          <w:sz w:val="22"/>
          <w:szCs w:val="22"/>
        </w:rPr>
        <w:t xml:space="preserve"> remote history of VTE more than 12 months before surgery and no other thrombotic risk factors typically are classified as low risk</w:t>
      </w:r>
    </w:p>
    <w:p w14:paraId="5CCB92FB" w14:textId="77777777" w:rsidR="00C010EE" w:rsidRDefault="00C010EE" w:rsidP="00C010EE">
      <w:pPr>
        <w:pStyle w:val="ListParagraph"/>
        <w:numPr>
          <w:ilvl w:val="0"/>
          <w:numId w:val="2"/>
        </w:numPr>
        <w:rPr>
          <w:rFonts w:ascii="Cambria" w:hAnsi="Cambria" w:cs="Times New Roman"/>
          <w:bCs/>
          <w:sz w:val="22"/>
          <w:szCs w:val="22"/>
        </w:rPr>
      </w:pPr>
      <w:r>
        <w:rPr>
          <w:rFonts w:ascii="Cambria" w:hAnsi="Cambria" w:cs="Times New Roman"/>
          <w:bCs/>
          <w:sz w:val="22"/>
          <w:szCs w:val="22"/>
        </w:rPr>
        <w:t>Patients on Coumadin</w:t>
      </w:r>
    </w:p>
    <w:p w14:paraId="08D27EEE" w14:textId="77777777" w:rsidR="00C010EE" w:rsidRPr="00C010EE" w:rsidRDefault="007D5556" w:rsidP="00C010EE">
      <w:pPr>
        <w:ind w:left="720"/>
        <w:rPr>
          <w:rFonts w:ascii="Cambria" w:hAnsi="Cambria" w:cs="Times New Roman"/>
          <w:bCs/>
          <w:sz w:val="22"/>
          <w:szCs w:val="22"/>
        </w:rPr>
      </w:pPr>
      <w:r>
        <w:rPr>
          <w:rFonts w:ascii="Cambria" w:hAnsi="Cambria" w:cs="Times New Roman"/>
          <w:bCs/>
          <w:noProof/>
          <w:sz w:val="22"/>
          <w:szCs w:val="22"/>
        </w:rPr>
        <w:drawing>
          <wp:inline distT="0" distB="0" distL="0" distR="0" wp14:anchorId="40909EE6" wp14:editId="072CC0EA">
            <wp:extent cx="5303520" cy="322135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221355"/>
                    </a:xfrm>
                    <a:prstGeom prst="rect">
                      <a:avLst/>
                    </a:prstGeom>
                    <a:noFill/>
                    <a:ln>
                      <a:noFill/>
                    </a:ln>
                  </pic:spPr>
                </pic:pic>
              </a:graphicData>
            </a:graphic>
          </wp:inline>
        </w:drawing>
      </w:r>
    </w:p>
    <w:p w14:paraId="0E5C187A" w14:textId="77777777" w:rsidR="007D5556" w:rsidRPr="007D5556" w:rsidRDefault="007D5556" w:rsidP="007D5556">
      <w:pPr>
        <w:rPr>
          <w:rFonts w:ascii="Cambria" w:hAnsi="Cambria" w:cs="Times New Roman"/>
          <w:bCs/>
          <w:sz w:val="22"/>
          <w:szCs w:val="22"/>
        </w:rPr>
      </w:pPr>
    </w:p>
    <w:p w14:paraId="7E23B3A5"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In patients requirin</w:t>
      </w:r>
      <w:r>
        <w:rPr>
          <w:rFonts w:ascii="Cambria" w:hAnsi="Cambria" w:cs="Times New Roman"/>
          <w:bCs/>
          <w:sz w:val="22"/>
          <w:szCs w:val="22"/>
        </w:rPr>
        <w:t>g minor dental procedures, war</w:t>
      </w:r>
      <w:r w:rsidRPr="007D5556">
        <w:rPr>
          <w:rFonts w:ascii="Cambria" w:hAnsi="Cambria" w:cs="Times New Roman"/>
          <w:bCs/>
          <w:sz w:val="22"/>
          <w:szCs w:val="22"/>
        </w:rPr>
        <w:t xml:space="preserve">farin may be continued with </w:t>
      </w:r>
      <w:proofErr w:type="spellStart"/>
      <w:r w:rsidRPr="007D5556">
        <w:rPr>
          <w:rFonts w:ascii="Cambria" w:hAnsi="Cambria" w:cs="Times New Roman"/>
          <w:bCs/>
          <w:sz w:val="22"/>
          <w:szCs w:val="22"/>
        </w:rPr>
        <w:t>coadministration</w:t>
      </w:r>
      <w:proofErr w:type="spellEnd"/>
      <w:r w:rsidRPr="007D5556">
        <w:rPr>
          <w:rFonts w:ascii="Cambria" w:hAnsi="Cambria" w:cs="Times New Roman"/>
          <w:bCs/>
          <w:sz w:val="22"/>
          <w:szCs w:val="22"/>
        </w:rPr>
        <w:t xml:space="preserve"> of an oral </w:t>
      </w:r>
      <w:proofErr w:type="spellStart"/>
      <w:r w:rsidRPr="007D5556">
        <w:rPr>
          <w:rFonts w:ascii="Cambria" w:hAnsi="Cambria" w:cs="Times New Roman"/>
          <w:bCs/>
          <w:sz w:val="22"/>
          <w:szCs w:val="22"/>
        </w:rPr>
        <w:t>antifibrinolytic</w:t>
      </w:r>
      <w:proofErr w:type="spellEnd"/>
      <w:r w:rsidRPr="007D5556">
        <w:rPr>
          <w:rFonts w:ascii="Cambria" w:hAnsi="Cambria" w:cs="Times New Roman"/>
          <w:bCs/>
          <w:sz w:val="22"/>
          <w:szCs w:val="22"/>
        </w:rPr>
        <w:t xml:space="preserve"> agent or warfarin may be stopped</w:t>
      </w:r>
      <w:r>
        <w:rPr>
          <w:rFonts w:ascii="Cambria" w:hAnsi="Cambria" w:cs="Times New Roman"/>
          <w:bCs/>
          <w:sz w:val="22"/>
          <w:szCs w:val="22"/>
        </w:rPr>
        <w:t xml:space="preserve"> 2-3 days before the procedure</w:t>
      </w:r>
    </w:p>
    <w:p w14:paraId="3AAFAB0A"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Warfarin also may be continued in patients undergoing minor dermatologic procedures with the use of adjunctive local hemostat</w:t>
      </w:r>
      <w:r>
        <w:rPr>
          <w:rFonts w:ascii="Cambria" w:hAnsi="Cambria" w:cs="Times New Roman"/>
          <w:bCs/>
          <w:sz w:val="22"/>
          <w:szCs w:val="22"/>
        </w:rPr>
        <w:t>ic measures as necessary</w:t>
      </w:r>
    </w:p>
    <w:p w14:paraId="00418045"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 xml:space="preserve">Cataract surgery also may be performed without interruption of warfarin </w:t>
      </w:r>
    </w:p>
    <w:p w14:paraId="6BE27E2D" w14:textId="77777777" w:rsidR="007D5556" w:rsidRDefault="007D5556" w:rsidP="007D5556">
      <w:pPr>
        <w:pStyle w:val="ListParagraph"/>
        <w:numPr>
          <w:ilvl w:val="0"/>
          <w:numId w:val="5"/>
        </w:numPr>
        <w:rPr>
          <w:rFonts w:ascii="Cambria" w:hAnsi="Cambria" w:cs="Times New Roman"/>
          <w:bCs/>
          <w:sz w:val="22"/>
          <w:szCs w:val="22"/>
        </w:rPr>
      </w:pPr>
      <w:r>
        <w:rPr>
          <w:rFonts w:ascii="Cambria" w:hAnsi="Cambria" w:cs="Times New Roman"/>
          <w:bCs/>
          <w:sz w:val="22"/>
          <w:szCs w:val="22"/>
        </w:rPr>
        <w:t>Patients on ASA</w:t>
      </w:r>
    </w:p>
    <w:p w14:paraId="6B0F7D82" w14:textId="77777777" w:rsidR="007D5556" w:rsidRP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 xml:space="preserve">In general, patients may remain on aspirin for minor dental or dermatologic procedures and cataract surgery </w:t>
      </w:r>
    </w:p>
    <w:p w14:paraId="4C4EC183"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lastRenderedPageBreak/>
        <w:t xml:space="preserve">For major </w:t>
      </w:r>
      <w:proofErr w:type="spellStart"/>
      <w:r w:rsidRPr="007D5556">
        <w:rPr>
          <w:rFonts w:ascii="Cambria" w:hAnsi="Cambria" w:cs="Times New Roman"/>
          <w:bCs/>
          <w:sz w:val="22"/>
          <w:szCs w:val="22"/>
        </w:rPr>
        <w:t>noncardiac</w:t>
      </w:r>
      <w:proofErr w:type="spellEnd"/>
      <w:r w:rsidRPr="007D5556">
        <w:rPr>
          <w:rFonts w:ascii="Cambria" w:hAnsi="Cambria" w:cs="Times New Roman"/>
          <w:bCs/>
          <w:sz w:val="22"/>
          <w:szCs w:val="22"/>
        </w:rPr>
        <w:t xml:space="preserve"> surgery, those at low risk of cardiovascular events should discontinue as</w:t>
      </w:r>
      <w:r>
        <w:rPr>
          <w:rFonts w:ascii="Cambria" w:hAnsi="Cambria" w:cs="Times New Roman"/>
          <w:bCs/>
          <w:sz w:val="22"/>
          <w:szCs w:val="22"/>
        </w:rPr>
        <w:t>pirin 7-10 days before surgery</w:t>
      </w:r>
    </w:p>
    <w:p w14:paraId="04629DFA"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 xml:space="preserve">Aspirin should be continued in patients judged </w:t>
      </w:r>
      <w:r>
        <w:rPr>
          <w:rFonts w:ascii="Cambria" w:hAnsi="Cambria" w:cs="Times New Roman"/>
          <w:bCs/>
          <w:sz w:val="22"/>
          <w:szCs w:val="22"/>
        </w:rPr>
        <w:t>to be at moderate or high risk.</w:t>
      </w:r>
    </w:p>
    <w:p w14:paraId="56533C10"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Patients who require coronary artery bypass grafting (CABG) should remain on aspiri</w:t>
      </w:r>
      <w:r>
        <w:rPr>
          <w:rFonts w:ascii="Cambria" w:hAnsi="Cambria" w:cs="Times New Roman"/>
          <w:bCs/>
          <w:sz w:val="22"/>
          <w:szCs w:val="22"/>
        </w:rPr>
        <w:t>n in the perioperative setting</w:t>
      </w:r>
    </w:p>
    <w:p w14:paraId="52340D26" w14:textId="77777777" w:rsidR="007D5556" w:rsidRPr="007D5556" w:rsidRDefault="007D5556" w:rsidP="007D5556">
      <w:pPr>
        <w:pStyle w:val="ListParagraph"/>
        <w:numPr>
          <w:ilvl w:val="2"/>
          <w:numId w:val="5"/>
        </w:numPr>
        <w:rPr>
          <w:rFonts w:ascii="Cambria" w:hAnsi="Cambria" w:cs="Times New Roman"/>
          <w:bCs/>
          <w:sz w:val="22"/>
          <w:szCs w:val="22"/>
        </w:rPr>
      </w:pPr>
      <w:r w:rsidRPr="007D5556">
        <w:rPr>
          <w:rFonts w:ascii="Cambria" w:hAnsi="Cambria" w:cs="Times New Roman"/>
          <w:bCs/>
          <w:sz w:val="22"/>
          <w:szCs w:val="22"/>
        </w:rPr>
        <w:t xml:space="preserve">If such patients are on dual antiplatelet therapy, </w:t>
      </w:r>
      <w:proofErr w:type="spellStart"/>
      <w:r w:rsidRPr="007D5556">
        <w:rPr>
          <w:rFonts w:ascii="Cambria" w:hAnsi="Cambria" w:cs="Times New Roman"/>
          <w:bCs/>
          <w:sz w:val="22"/>
          <w:szCs w:val="22"/>
        </w:rPr>
        <w:t>clopidogrel</w:t>
      </w:r>
      <w:proofErr w:type="spellEnd"/>
      <w:r w:rsidRPr="007D5556">
        <w:rPr>
          <w:rFonts w:ascii="Cambria" w:hAnsi="Cambria" w:cs="Times New Roman"/>
          <w:bCs/>
          <w:sz w:val="22"/>
          <w:szCs w:val="22"/>
        </w:rPr>
        <w:t xml:space="preserve"> or </w:t>
      </w:r>
      <w:proofErr w:type="spellStart"/>
      <w:r w:rsidRPr="007D5556">
        <w:rPr>
          <w:rFonts w:ascii="Cambria" w:hAnsi="Cambria" w:cs="Times New Roman"/>
          <w:bCs/>
          <w:sz w:val="22"/>
          <w:szCs w:val="22"/>
        </w:rPr>
        <w:t>prasugrel</w:t>
      </w:r>
      <w:proofErr w:type="spellEnd"/>
      <w:r w:rsidRPr="007D5556">
        <w:rPr>
          <w:rFonts w:ascii="Cambria" w:hAnsi="Cambria" w:cs="Times New Roman"/>
          <w:bCs/>
          <w:sz w:val="22"/>
          <w:szCs w:val="22"/>
        </w:rPr>
        <w:t xml:space="preserve"> should be held beginning 5 days before surgery </w:t>
      </w:r>
    </w:p>
    <w:p w14:paraId="31E954C1"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In patients with a coronary stent who are receiving dual antiplatelet therapy and require surgery, surgery should be deferred, if possible, during the period of highest risk for in- stent thrombosis (6 weeks after placement of bare metal stents, 6 months after pla</w:t>
      </w:r>
      <w:r>
        <w:rPr>
          <w:rFonts w:ascii="Cambria" w:hAnsi="Cambria" w:cs="Times New Roman"/>
          <w:bCs/>
          <w:sz w:val="22"/>
          <w:szCs w:val="22"/>
        </w:rPr>
        <w:t>cement of drug-eluting stents)</w:t>
      </w:r>
    </w:p>
    <w:p w14:paraId="5F6543CE" w14:textId="77777777" w:rsid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 xml:space="preserve">After this period has passed, </w:t>
      </w:r>
      <w:proofErr w:type="spellStart"/>
      <w:r w:rsidRPr="007D5556">
        <w:rPr>
          <w:rFonts w:ascii="Cambria" w:hAnsi="Cambria" w:cs="Times New Roman"/>
          <w:bCs/>
          <w:sz w:val="22"/>
          <w:szCs w:val="22"/>
        </w:rPr>
        <w:t>clopidogrel</w:t>
      </w:r>
      <w:proofErr w:type="spellEnd"/>
      <w:r w:rsidRPr="007D5556">
        <w:rPr>
          <w:rFonts w:ascii="Cambria" w:hAnsi="Cambria" w:cs="Times New Roman"/>
          <w:bCs/>
          <w:sz w:val="22"/>
          <w:szCs w:val="22"/>
        </w:rPr>
        <w:t xml:space="preserve"> or </w:t>
      </w:r>
      <w:proofErr w:type="spellStart"/>
      <w:r w:rsidRPr="007D5556">
        <w:rPr>
          <w:rFonts w:ascii="Cambria" w:hAnsi="Cambria" w:cs="Times New Roman"/>
          <w:bCs/>
          <w:sz w:val="22"/>
          <w:szCs w:val="22"/>
        </w:rPr>
        <w:t>prasugrel</w:t>
      </w:r>
      <w:proofErr w:type="spellEnd"/>
      <w:r w:rsidRPr="007D5556">
        <w:rPr>
          <w:rFonts w:ascii="Cambria" w:hAnsi="Cambria" w:cs="Times New Roman"/>
          <w:bCs/>
          <w:sz w:val="22"/>
          <w:szCs w:val="22"/>
        </w:rPr>
        <w:t xml:space="preserve"> may be sus</w:t>
      </w:r>
      <w:r>
        <w:rPr>
          <w:rFonts w:ascii="Cambria" w:hAnsi="Cambria" w:cs="Times New Roman"/>
          <w:bCs/>
          <w:sz w:val="22"/>
          <w:szCs w:val="22"/>
        </w:rPr>
        <w:t>pended temporarily for surgery</w:t>
      </w:r>
    </w:p>
    <w:p w14:paraId="4AE731EB" w14:textId="77777777" w:rsidR="007D5556" w:rsidRPr="007D5556" w:rsidRDefault="007D5556" w:rsidP="007D5556">
      <w:pPr>
        <w:pStyle w:val="ListParagraph"/>
        <w:numPr>
          <w:ilvl w:val="1"/>
          <w:numId w:val="5"/>
        </w:numPr>
        <w:rPr>
          <w:rFonts w:ascii="Cambria" w:hAnsi="Cambria" w:cs="Times New Roman"/>
          <w:bCs/>
          <w:sz w:val="22"/>
          <w:szCs w:val="22"/>
        </w:rPr>
      </w:pPr>
      <w:r w:rsidRPr="007D5556">
        <w:rPr>
          <w:rFonts w:ascii="Cambria" w:hAnsi="Cambria" w:cs="Times New Roman"/>
          <w:bCs/>
          <w:sz w:val="22"/>
          <w:szCs w:val="22"/>
        </w:rPr>
        <w:t>If surgery cannot be delayed, dual antiplatelet t</w:t>
      </w:r>
      <w:r>
        <w:rPr>
          <w:rFonts w:ascii="Cambria" w:hAnsi="Cambria" w:cs="Times New Roman"/>
          <w:bCs/>
          <w:sz w:val="22"/>
          <w:szCs w:val="22"/>
        </w:rPr>
        <w:t>herapy should be continued dur</w:t>
      </w:r>
      <w:r w:rsidRPr="007D5556">
        <w:rPr>
          <w:rFonts w:ascii="Cambria" w:hAnsi="Cambria" w:cs="Times New Roman"/>
          <w:bCs/>
          <w:sz w:val="22"/>
          <w:szCs w:val="22"/>
        </w:rPr>
        <w:t xml:space="preserve">ing and after surgery </w:t>
      </w:r>
    </w:p>
    <w:p w14:paraId="2272D66B" w14:textId="77777777" w:rsidR="00675CA4" w:rsidRPr="007D5556" w:rsidRDefault="00675CA4" w:rsidP="007D5556">
      <w:pPr>
        <w:ind w:left="360"/>
        <w:rPr>
          <w:rFonts w:ascii="Cambria" w:hAnsi="Cambria" w:cs="Times New Roman"/>
          <w:b/>
          <w:bCs/>
          <w:sz w:val="22"/>
          <w:szCs w:val="22"/>
        </w:rPr>
      </w:pPr>
    </w:p>
    <w:p w14:paraId="2A989CBE" w14:textId="77777777" w:rsidR="00FA2EDD" w:rsidRPr="00CE4330" w:rsidRDefault="00FA2EDD" w:rsidP="00FA2EDD">
      <w:pPr>
        <w:rPr>
          <w:rFonts w:ascii="Cambria" w:hAnsi="Cambria" w:cs="Times New Roman"/>
          <w:sz w:val="22"/>
          <w:szCs w:val="22"/>
        </w:rPr>
      </w:pPr>
      <w:r w:rsidRPr="00CE4330">
        <w:rPr>
          <w:rFonts w:ascii="Cambria" w:hAnsi="Cambria" w:cs="Times New Roman"/>
          <w:b/>
          <w:bCs/>
          <w:sz w:val="22"/>
          <w:szCs w:val="22"/>
        </w:rPr>
        <w:t xml:space="preserve">Management of perioperative hemorrhage </w:t>
      </w:r>
    </w:p>
    <w:p w14:paraId="3BC1DEA5" w14:textId="77777777" w:rsidR="00FA2EDD" w:rsidRPr="00CE4330" w:rsidRDefault="00FA2EDD" w:rsidP="00FA2EDD">
      <w:pPr>
        <w:pStyle w:val="ListParagraph"/>
        <w:numPr>
          <w:ilvl w:val="0"/>
          <w:numId w:val="1"/>
        </w:numPr>
        <w:rPr>
          <w:rFonts w:ascii="Cambria" w:hAnsi="Cambria" w:cs="Times New Roman"/>
          <w:sz w:val="22"/>
          <w:szCs w:val="22"/>
        </w:rPr>
      </w:pPr>
      <w:r w:rsidRPr="00CE4330">
        <w:rPr>
          <w:rFonts w:ascii="Cambria" w:hAnsi="Cambria" w:cs="Times New Roman"/>
          <w:sz w:val="22"/>
          <w:szCs w:val="22"/>
        </w:rPr>
        <w:t>Perioperative hemorrhage may be due to inadequate local hemostasis o</w:t>
      </w:r>
      <w:r>
        <w:rPr>
          <w:rFonts w:ascii="Cambria" w:hAnsi="Cambria" w:cs="Times New Roman"/>
          <w:sz w:val="22"/>
          <w:szCs w:val="22"/>
        </w:rPr>
        <w:t>r a systemic hemostatic defect</w:t>
      </w:r>
    </w:p>
    <w:p w14:paraId="17872D92" w14:textId="77777777" w:rsidR="00FA2EDD" w:rsidRDefault="00FA2EDD" w:rsidP="00FA2EDD">
      <w:pPr>
        <w:pStyle w:val="ListParagraph"/>
        <w:numPr>
          <w:ilvl w:val="1"/>
          <w:numId w:val="1"/>
        </w:numPr>
        <w:rPr>
          <w:rFonts w:ascii="Cambria" w:hAnsi="Cambria" w:cs="Times New Roman"/>
          <w:sz w:val="22"/>
          <w:szCs w:val="22"/>
        </w:rPr>
      </w:pPr>
      <w:r w:rsidRPr="00CE4330">
        <w:rPr>
          <w:rFonts w:ascii="Cambria" w:hAnsi="Cambria" w:cs="Times New Roman"/>
          <w:sz w:val="22"/>
          <w:szCs w:val="22"/>
        </w:rPr>
        <w:t xml:space="preserve">Potential hemostatic defects include an unrecognized preexisting bleeding diathesis, such as factor deficiency, von </w:t>
      </w:r>
      <w:proofErr w:type="spellStart"/>
      <w:r w:rsidRPr="00CE4330">
        <w:rPr>
          <w:rFonts w:ascii="Cambria" w:hAnsi="Cambria" w:cs="Times New Roman"/>
          <w:sz w:val="22"/>
          <w:szCs w:val="22"/>
        </w:rPr>
        <w:t>Willebrand</w:t>
      </w:r>
      <w:proofErr w:type="spellEnd"/>
      <w:r w:rsidRPr="00CE4330">
        <w:rPr>
          <w:rFonts w:ascii="Cambria" w:hAnsi="Cambria" w:cs="Times New Roman"/>
          <w:sz w:val="22"/>
          <w:szCs w:val="22"/>
        </w:rPr>
        <w:t xml:space="preserve"> disease, or a platelet function disorder; drugs; uremia; </w:t>
      </w:r>
      <w:proofErr w:type="spellStart"/>
      <w:r w:rsidRPr="00CE4330">
        <w:rPr>
          <w:rFonts w:ascii="Cambria" w:hAnsi="Cambria" w:cs="Times New Roman"/>
          <w:sz w:val="22"/>
          <w:szCs w:val="22"/>
        </w:rPr>
        <w:t>dilutional</w:t>
      </w:r>
      <w:proofErr w:type="spellEnd"/>
      <w:r w:rsidRPr="00CE4330">
        <w:rPr>
          <w:rFonts w:ascii="Cambria" w:hAnsi="Cambria" w:cs="Times New Roman"/>
          <w:sz w:val="22"/>
          <w:szCs w:val="22"/>
        </w:rPr>
        <w:t xml:space="preserve"> coagulopathy; or disseminated i</w:t>
      </w:r>
      <w:r>
        <w:rPr>
          <w:rFonts w:ascii="Cambria" w:hAnsi="Cambria" w:cs="Times New Roman"/>
          <w:sz w:val="22"/>
          <w:szCs w:val="22"/>
        </w:rPr>
        <w:t>ntravascular coagulation (DIC)</w:t>
      </w:r>
    </w:p>
    <w:p w14:paraId="37EBF469" w14:textId="77777777" w:rsidR="00FA2EDD" w:rsidRPr="00CE4330" w:rsidRDefault="00FA2EDD" w:rsidP="00FA2EDD">
      <w:pPr>
        <w:pStyle w:val="ListParagraph"/>
        <w:numPr>
          <w:ilvl w:val="1"/>
          <w:numId w:val="1"/>
        </w:numPr>
        <w:rPr>
          <w:rFonts w:ascii="Cambria" w:hAnsi="Cambria" w:cs="Times New Roman"/>
          <w:sz w:val="22"/>
          <w:szCs w:val="22"/>
        </w:rPr>
      </w:pPr>
      <w:r w:rsidRPr="00CE4330">
        <w:rPr>
          <w:rFonts w:ascii="Cambria" w:hAnsi="Cambria" w:cs="Times New Roman"/>
          <w:sz w:val="22"/>
          <w:szCs w:val="22"/>
        </w:rPr>
        <w:t xml:space="preserve">Not to be overlooked is the increased risk of bleeding induced by acid- base disturbances and hypothermia </w:t>
      </w:r>
    </w:p>
    <w:p w14:paraId="720C26B9" w14:textId="77777777" w:rsidR="00FA2EDD" w:rsidRDefault="00FA2EDD" w:rsidP="00FA2EDD">
      <w:pPr>
        <w:pStyle w:val="ListParagraph"/>
        <w:numPr>
          <w:ilvl w:val="0"/>
          <w:numId w:val="1"/>
        </w:numPr>
        <w:rPr>
          <w:rFonts w:ascii="Cambria" w:hAnsi="Cambria" w:cs="Times New Roman"/>
          <w:sz w:val="22"/>
          <w:szCs w:val="22"/>
        </w:rPr>
      </w:pPr>
      <w:r>
        <w:rPr>
          <w:rFonts w:ascii="Cambria" w:hAnsi="Cambria" w:cs="Times New Roman"/>
          <w:sz w:val="22"/>
          <w:szCs w:val="22"/>
        </w:rPr>
        <w:t>Surgery specific factors</w:t>
      </w:r>
    </w:p>
    <w:p w14:paraId="57368B74" w14:textId="77777777" w:rsidR="00FA2EDD" w:rsidRDefault="00FA2EDD" w:rsidP="00FA2EDD">
      <w:pPr>
        <w:pStyle w:val="ListParagraph"/>
        <w:numPr>
          <w:ilvl w:val="1"/>
          <w:numId w:val="1"/>
        </w:numPr>
        <w:rPr>
          <w:rFonts w:ascii="Cambria" w:hAnsi="Cambria" w:cs="Times New Roman"/>
          <w:sz w:val="22"/>
          <w:szCs w:val="22"/>
        </w:rPr>
      </w:pPr>
      <w:r>
        <w:rPr>
          <w:rFonts w:ascii="Cambria" w:hAnsi="Cambria" w:cs="Times New Roman"/>
          <w:sz w:val="22"/>
          <w:szCs w:val="22"/>
        </w:rPr>
        <w:t>Cardiopulmonary</w:t>
      </w:r>
    </w:p>
    <w:p w14:paraId="6290D1E8" w14:textId="77777777" w:rsidR="00FA2EDD" w:rsidRPr="00CE4330" w:rsidRDefault="00FA2EDD" w:rsidP="00FA2EDD">
      <w:pPr>
        <w:pStyle w:val="ListParagraph"/>
        <w:numPr>
          <w:ilvl w:val="2"/>
          <w:numId w:val="1"/>
        </w:numPr>
        <w:rPr>
          <w:rFonts w:ascii="Cambria" w:hAnsi="Cambria" w:cs="Times New Roman"/>
          <w:sz w:val="22"/>
          <w:szCs w:val="22"/>
        </w:rPr>
      </w:pPr>
      <w:r w:rsidRPr="00CE4330">
        <w:rPr>
          <w:rFonts w:ascii="Cambria" w:hAnsi="Cambria" w:cs="Times New Roman"/>
          <w:sz w:val="22"/>
          <w:szCs w:val="22"/>
        </w:rPr>
        <w:t>Excessive blood loss in patients u</w:t>
      </w:r>
      <w:r>
        <w:rPr>
          <w:rFonts w:ascii="Cambria" w:hAnsi="Cambria" w:cs="Times New Roman"/>
          <w:sz w:val="22"/>
          <w:szCs w:val="22"/>
        </w:rPr>
        <w:t>ndergoing cardio-</w:t>
      </w:r>
      <w:r w:rsidRPr="00CE4330">
        <w:rPr>
          <w:rFonts w:ascii="Cambria" w:hAnsi="Cambria" w:cs="Times New Roman"/>
          <w:sz w:val="22"/>
          <w:szCs w:val="22"/>
        </w:rPr>
        <w:t xml:space="preserve">pulmonary bypass surgery may be due to the effects of the bypass circuit on platelet function fibrinolysis, or the use of antiplatelet agents, heparin, or other anticoagulants </w:t>
      </w:r>
    </w:p>
    <w:p w14:paraId="68D19948" w14:textId="77777777" w:rsidR="00FA2EDD" w:rsidRDefault="00FA2EDD" w:rsidP="00FA2EDD">
      <w:pPr>
        <w:pStyle w:val="ListParagraph"/>
        <w:numPr>
          <w:ilvl w:val="1"/>
          <w:numId w:val="1"/>
        </w:numPr>
        <w:rPr>
          <w:rFonts w:ascii="Cambria" w:hAnsi="Cambria" w:cs="Times New Roman"/>
          <w:sz w:val="22"/>
          <w:szCs w:val="22"/>
        </w:rPr>
      </w:pPr>
      <w:r>
        <w:rPr>
          <w:rFonts w:ascii="Cambria" w:hAnsi="Cambria" w:cs="Times New Roman"/>
          <w:sz w:val="22"/>
          <w:szCs w:val="22"/>
        </w:rPr>
        <w:t>Liver Transplantation</w:t>
      </w:r>
    </w:p>
    <w:p w14:paraId="4BF23D7E" w14:textId="77777777" w:rsidR="00FA2EDD" w:rsidRPr="00FA2EDD" w:rsidRDefault="00FA2EDD" w:rsidP="00FA2EDD">
      <w:pPr>
        <w:pStyle w:val="ListParagraph"/>
        <w:numPr>
          <w:ilvl w:val="2"/>
          <w:numId w:val="1"/>
        </w:numPr>
        <w:rPr>
          <w:rFonts w:ascii="Cambria" w:hAnsi="Cambria" w:cs="Times New Roman"/>
          <w:sz w:val="22"/>
          <w:szCs w:val="22"/>
        </w:rPr>
      </w:pPr>
      <w:r w:rsidRPr="00CE4330">
        <w:rPr>
          <w:rFonts w:ascii="Cambria" w:hAnsi="Cambria" w:cs="Times New Roman"/>
          <w:sz w:val="22"/>
          <w:szCs w:val="22"/>
        </w:rPr>
        <w:t xml:space="preserve">Liver transplantation carries unique risks due to the temporary loss of coagulation factor synthesis and enhanced </w:t>
      </w:r>
      <w:proofErr w:type="spellStart"/>
      <w:r w:rsidRPr="00CE4330">
        <w:rPr>
          <w:rFonts w:ascii="Cambria" w:hAnsi="Cambria" w:cs="Times New Roman"/>
          <w:sz w:val="22"/>
          <w:szCs w:val="22"/>
        </w:rPr>
        <w:t>fibrinoly</w:t>
      </w:r>
      <w:proofErr w:type="spellEnd"/>
      <w:r w:rsidRPr="00CE4330">
        <w:rPr>
          <w:rFonts w:ascii="Cambria" w:hAnsi="Cambria" w:cs="Times New Roman"/>
          <w:sz w:val="22"/>
          <w:szCs w:val="22"/>
        </w:rPr>
        <w:t>- sis. During reperfusion of the transplanted liver, tissue-type</w:t>
      </w:r>
      <w:r>
        <w:rPr>
          <w:rFonts w:ascii="Cambria" w:hAnsi="Cambria" w:cs="Times New Roman"/>
          <w:sz w:val="22"/>
          <w:szCs w:val="22"/>
        </w:rPr>
        <w:t xml:space="preserve"> </w:t>
      </w:r>
      <w:r w:rsidRPr="00FA2EDD">
        <w:rPr>
          <w:rFonts w:ascii="Cambria" w:hAnsi="Cambria" w:cs="Times New Roman"/>
          <w:sz w:val="22"/>
          <w:szCs w:val="22"/>
        </w:rPr>
        <w:t xml:space="preserve">plasminogen activator is released into the circulation and proteolysis of von </w:t>
      </w:r>
      <w:proofErr w:type="spellStart"/>
      <w:r w:rsidRPr="00FA2EDD">
        <w:rPr>
          <w:rFonts w:ascii="Cambria" w:hAnsi="Cambria" w:cs="Times New Roman"/>
          <w:sz w:val="22"/>
          <w:szCs w:val="22"/>
        </w:rPr>
        <w:t>Willebrand</w:t>
      </w:r>
      <w:proofErr w:type="spellEnd"/>
      <w:r w:rsidRPr="00FA2EDD">
        <w:rPr>
          <w:rFonts w:ascii="Cambria" w:hAnsi="Cambria" w:cs="Times New Roman"/>
          <w:sz w:val="22"/>
          <w:szCs w:val="22"/>
        </w:rPr>
        <w:t xml:space="preserve"> factor (</w:t>
      </w:r>
      <w:proofErr w:type="spellStart"/>
      <w:r w:rsidRPr="00FA2EDD">
        <w:rPr>
          <w:rFonts w:ascii="Cambria" w:hAnsi="Cambria" w:cs="Times New Roman"/>
          <w:sz w:val="22"/>
          <w:szCs w:val="22"/>
        </w:rPr>
        <w:t>vWF</w:t>
      </w:r>
      <w:proofErr w:type="spellEnd"/>
      <w:r w:rsidRPr="00FA2EDD">
        <w:rPr>
          <w:rFonts w:ascii="Cambria" w:hAnsi="Cambria" w:cs="Times New Roman"/>
          <w:sz w:val="22"/>
          <w:szCs w:val="22"/>
        </w:rPr>
        <w:t xml:space="preserve">) occurs. </w:t>
      </w:r>
    </w:p>
    <w:p w14:paraId="272DD88D" w14:textId="77777777" w:rsidR="00FA2EDD" w:rsidRDefault="00FA2EDD" w:rsidP="00FA2EDD">
      <w:pPr>
        <w:pStyle w:val="ListParagraph"/>
        <w:numPr>
          <w:ilvl w:val="0"/>
          <w:numId w:val="1"/>
        </w:numPr>
        <w:rPr>
          <w:rFonts w:ascii="Cambria" w:hAnsi="Cambria" w:cs="Times New Roman"/>
          <w:sz w:val="22"/>
          <w:szCs w:val="22"/>
        </w:rPr>
      </w:pPr>
      <w:r>
        <w:rPr>
          <w:rFonts w:ascii="Cambria" w:hAnsi="Cambria" w:cs="Times New Roman"/>
          <w:sz w:val="22"/>
          <w:szCs w:val="22"/>
        </w:rPr>
        <w:t>Work up</w:t>
      </w:r>
    </w:p>
    <w:p w14:paraId="24D96188" w14:textId="77777777" w:rsidR="00FA2EDD" w:rsidRDefault="00FA2EDD" w:rsidP="00FA2EDD">
      <w:pPr>
        <w:pStyle w:val="ListParagraph"/>
        <w:numPr>
          <w:ilvl w:val="1"/>
          <w:numId w:val="1"/>
        </w:numPr>
        <w:rPr>
          <w:rFonts w:ascii="Cambria" w:hAnsi="Cambria" w:cs="Times New Roman"/>
          <w:sz w:val="22"/>
          <w:szCs w:val="22"/>
        </w:rPr>
      </w:pPr>
      <w:r>
        <w:rPr>
          <w:rFonts w:ascii="Cambria" w:hAnsi="Cambria" w:cs="Times New Roman"/>
          <w:sz w:val="22"/>
          <w:szCs w:val="22"/>
        </w:rPr>
        <w:t xml:space="preserve">Platelet count, PT, PTT, </w:t>
      </w:r>
      <w:proofErr w:type="spellStart"/>
      <w:r>
        <w:rPr>
          <w:rFonts w:ascii="Cambria" w:hAnsi="Cambria" w:cs="Times New Roman"/>
          <w:sz w:val="22"/>
          <w:szCs w:val="22"/>
        </w:rPr>
        <w:t>firbrinogen</w:t>
      </w:r>
      <w:proofErr w:type="spellEnd"/>
    </w:p>
    <w:p w14:paraId="427F5CBF" w14:textId="77777777" w:rsidR="00FA2EDD" w:rsidRDefault="00FA2EDD" w:rsidP="00FA2EDD">
      <w:pPr>
        <w:pStyle w:val="ListParagraph"/>
        <w:numPr>
          <w:ilvl w:val="1"/>
          <w:numId w:val="1"/>
        </w:numPr>
        <w:rPr>
          <w:rFonts w:ascii="Cambria" w:hAnsi="Cambria" w:cs="Times New Roman"/>
          <w:sz w:val="22"/>
          <w:szCs w:val="22"/>
        </w:rPr>
      </w:pPr>
      <w:r>
        <w:rPr>
          <w:rFonts w:ascii="Cambria" w:hAnsi="Cambria" w:cs="Times New Roman"/>
          <w:sz w:val="22"/>
          <w:szCs w:val="22"/>
        </w:rPr>
        <w:t>Mixing study</w:t>
      </w:r>
      <w:r>
        <w:rPr>
          <w:rFonts w:ascii="Cambria" w:hAnsi="Cambria" w:cs="Times New Roman"/>
          <w:sz w:val="22"/>
          <w:szCs w:val="22"/>
        </w:rPr>
        <w:tab/>
      </w:r>
    </w:p>
    <w:p w14:paraId="2B15EA06" w14:textId="77777777" w:rsidR="00FA2EDD" w:rsidRDefault="00FA2EDD" w:rsidP="00FA2EDD">
      <w:pPr>
        <w:pStyle w:val="ListParagraph"/>
        <w:numPr>
          <w:ilvl w:val="0"/>
          <w:numId w:val="1"/>
        </w:numPr>
        <w:rPr>
          <w:rFonts w:ascii="Cambria" w:hAnsi="Cambria" w:cs="Times New Roman"/>
          <w:sz w:val="22"/>
          <w:szCs w:val="22"/>
        </w:rPr>
      </w:pPr>
      <w:r>
        <w:rPr>
          <w:rFonts w:ascii="Cambria" w:hAnsi="Cambria" w:cs="Times New Roman"/>
          <w:sz w:val="22"/>
          <w:szCs w:val="22"/>
        </w:rPr>
        <w:t>Management</w:t>
      </w:r>
    </w:p>
    <w:p w14:paraId="02BFAB78" w14:textId="77777777" w:rsidR="00FA2EDD" w:rsidRDefault="00FA2EDD" w:rsidP="00FA2EDD">
      <w:pPr>
        <w:pStyle w:val="ListParagraph"/>
        <w:numPr>
          <w:ilvl w:val="1"/>
          <w:numId w:val="1"/>
        </w:numPr>
        <w:rPr>
          <w:rFonts w:ascii="Cambria" w:hAnsi="Cambria" w:cs="Times New Roman"/>
          <w:sz w:val="22"/>
          <w:szCs w:val="22"/>
        </w:rPr>
      </w:pPr>
      <w:r>
        <w:rPr>
          <w:rFonts w:ascii="Cambria" w:hAnsi="Cambria" w:cs="Times New Roman"/>
          <w:sz w:val="22"/>
          <w:szCs w:val="22"/>
        </w:rPr>
        <w:t>In gen</w:t>
      </w:r>
      <w:r w:rsidRPr="00FA2EDD">
        <w:rPr>
          <w:rFonts w:ascii="Cambria" w:hAnsi="Cambria" w:cs="Times New Roman"/>
          <w:sz w:val="22"/>
          <w:szCs w:val="22"/>
        </w:rPr>
        <w:t xml:space="preserve">eral, cryoprecipitate and platelets should be transfused to maintain a fibrinogen concentration of at least 100 mg/dl and a platelet count of at least 50 </w:t>
      </w:r>
      <w:r>
        <w:rPr>
          <w:rFonts w:ascii="Cambria" w:hAnsi="Cambria" w:cs="Times New Roman"/>
          <w:sz w:val="22"/>
          <w:szCs w:val="22"/>
        </w:rPr>
        <w:t>x</w:t>
      </w:r>
      <w:r w:rsidRPr="00FA2EDD">
        <w:rPr>
          <w:rFonts w:ascii="Cambria" w:hAnsi="Cambria" w:cs="Times New Roman"/>
          <w:sz w:val="22"/>
          <w:szCs w:val="22"/>
        </w:rPr>
        <w:t xml:space="preserve"> 10</w:t>
      </w:r>
      <w:r w:rsidRPr="00FA2EDD">
        <w:rPr>
          <w:rFonts w:ascii="Cambria" w:hAnsi="Cambria" w:cs="Times New Roman"/>
          <w:sz w:val="22"/>
          <w:szCs w:val="22"/>
          <w:vertAlign w:val="superscript"/>
        </w:rPr>
        <w:t>9</w:t>
      </w:r>
      <w:r w:rsidRPr="00FA2EDD">
        <w:rPr>
          <w:rFonts w:ascii="Cambria" w:hAnsi="Cambria" w:cs="Times New Roman"/>
          <w:sz w:val="22"/>
          <w:szCs w:val="22"/>
        </w:rPr>
        <w:t xml:space="preserve">/L (100 </w:t>
      </w:r>
      <w:r>
        <w:rPr>
          <w:rFonts w:ascii="Cambria" w:hAnsi="Cambria" w:cs="Times New Roman"/>
          <w:sz w:val="22"/>
          <w:szCs w:val="22"/>
        </w:rPr>
        <w:t>x</w:t>
      </w:r>
      <w:r w:rsidRPr="00FA2EDD">
        <w:rPr>
          <w:rFonts w:ascii="Cambria" w:hAnsi="Cambria" w:cs="Times New Roman"/>
          <w:sz w:val="22"/>
          <w:szCs w:val="22"/>
        </w:rPr>
        <w:t xml:space="preserve"> 10</w:t>
      </w:r>
      <w:r w:rsidRPr="00FA2EDD">
        <w:rPr>
          <w:rFonts w:ascii="Cambria" w:hAnsi="Cambria" w:cs="Times New Roman"/>
          <w:sz w:val="22"/>
          <w:szCs w:val="22"/>
          <w:vertAlign w:val="superscript"/>
        </w:rPr>
        <w:t>9</w:t>
      </w:r>
      <w:r w:rsidRPr="00FA2EDD">
        <w:rPr>
          <w:rFonts w:ascii="Cambria" w:hAnsi="Cambria" w:cs="Times New Roman"/>
          <w:sz w:val="22"/>
          <w:szCs w:val="22"/>
        </w:rPr>
        <w:t>/L for organ-</w:t>
      </w:r>
      <w:r>
        <w:rPr>
          <w:rFonts w:ascii="Cambria" w:hAnsi="Cambria" w:cs="Times New Roman"/>
          <w:sz w:val="22"/>
          <w:szCs w:val="22"/>
        </w:rPr>
        <w:t xml:space="preserve"> or life-threatening bleeding), respectively</w:t>
      </w:r>
    </w:p>
    <w:p w14:paraId="0E21D26B" w14:textId="77777777" w:rsidR="00FA2EDD" w:rsidRPr="00FA2EDD" w:rsidRDefault="00FA2EDD" w:rsidP="00FA2EDD">
      <w:pPr>
        <w:pStyle w:val="ListParagraph"/>
        <w:numPr>
          <w:ilvl w:val="1"/>
          <w:numId w:val="1"/>
        </w:numPr>
        <w:rPr>
          <w:rFonts w:ascii="Cambria" w:hAnsi="Cambria" w:cs="Times New Roman"/>
          <w:sz w:val="22"/>
          <w:szCs w:val="22"/>
        </w:rPr>
      </w:pPr>
      <w:r w:rsidRPr="00FA2EDD">
        <w:rPr>
          <w:rFonts w:ascii="Cambria" w:hAnsi="Cambria" w:cs="Times New Roman"/>
          <w:sz w:val="22"/>
          <w:szCs w:val="22"/>
        </w:rPr>
        <w:t xml:space="preserve">Hypothermia and acid-base disturbances should be corrected </w:t>
      </w:r>
    </w:p>
    <w:p w14:paraId="429212B6" w14:textId="77777777" w:rsidR="00FA2EDD" w:rsidRDefault="00FA2EDD" w:rsidP="00FA2EDD">
      <w:pPr>
        <w:pStyle w:val="ListParagraph"/>
        <w:numPr>
          <w:ilvl w:val="1"/>
          <w:numId w:val="1"/>
        </w:numPr>
        <w:rPr>
          <w:rFonts w:ascii="Cambria" w:hAnsi="Cambria" w:cs="Times New Roman"/>
          <w:sz w:val="22"/>
          <w:szCs w:val="22"/>
        </w:rPr>
      </w:pPr>
      <w:r w:rsidRPr="00FA2EDD">
        <w:rPr>
          <w:rFonts w:ascii="Cambria" w:hAnsi="Cambria" w:cs="Times New Roman"/>
          <w:sz w:val="22"/>
          <w:szCs w:val="22"/>
        </w:rPr>
        <w:t>If basic hemostatic laboratory parameters are normal or bleeding persists after correct</w:t>
      </w:r>
      <w:r>
        <w:rPr>
          <w:rFonts w:ascii="Cambria" w:hAnsi="Cambria" w:cs="Times New Roman"/>
          <w:sz w:val="22"/>
          <w:szCs w:val="22"/>
        </w:rPr>
        <w:t>ion of these parameters, inade</w:t>
      </w:r>
      <w:r w:rsidRPr="00FA2EDD">
        <w:rPr>
          <w:rFonts w:ascii="Cambria" w:hAnsi="Cambria" w:cs="Times New Roman"/>
          <w:sz w:val="22"/>
          <w:szCs w:val="22"/>
        </w:rPr>
        <w:t xml:space="preserve">quate local hemostasis due to vessel injury is suggested and surgical </w:t>
      </w:r>
      <w:proofErr w:type="spellStart"/>
      <w:r w:rsidRPr="00FA2EDD">
        <w:rPr>
          <w:rFonts w:ascii="Cambria" w:hAnsi="Cambria" w:cs="Times New Roman"/>
          <w:sz w:val="22"/>
          <w:szCs w:val="22"/>
        </w:rPr>
        <w:t>reex</w:t>
      </w:r>
      <w:r>
        <w:rPr>
          <w:rFonts w:ascii="Cambria" w:hAnsi="Cambria" w:cs="Times New Roman"/>
          <w:sz w:val="22"/>
          <w:szCs w:val="22"/>
        </w:rPr>
        <w:t>ploration</w:t>
      </w:r>
      <w:proofErr w:type="spellEnd"/>
      <w:r>
        <w:rPr>
          <w:rFonts w:ascii="Cambria" w:hAnsi="Cambria" w:cs="Times New Roman"/>
          <w:sz w:val="22"/>
          <w:szCs w:val="22"/>
        </w:rPr>
        <w:t xml:space="preserve"> should be considered</w:t>
      </w:r>
    </w:p>
    <w:p w14:paraId="78E4B7AA" w14:textId="77777777" w:rsidR="00FA2EDD" w:rsidRDefault="00FA2EDD" w:rsidP="00FA2EDD">
      <w:pPr>
        <w:pStyle w:val="ListParagraph"/>
        <w:numPr>
          <w:ilvl w:val="1"/>
          <w:numId w:val="1"/>
        </w:numPr>
        <w:rPr>
          <w:rFonts w:ascii="Cambria" w:hAnsi="Cambria" w:cs="Times New Roman"/>
          <w:sz w:val="22"/>
          <w:szCs w:val="22"/>
        </w:rPr>
      </w:pPr>
      <w:r w:rsidRPr="00FA2EDD">
        <w:rPr>
          <w:rFonts w:ascii="Cambria" w:hAnsi="Cambria" w:cs="Times New Roman"/>
          <w:sz w:val="22"/>
          <w:szCs w:val="22"/>
        </w:rPr>
        <w:t xml:space="preserve">Some systemic bleeding diatheses (such as mild deficiency of factors VIII, IX, or XI; von </w:t>
      </w:r>
      <w:proofErr w:type="spellStart"/>
      <w:r w:rsidRPr="00FA2EDD">
        <w:rPr>
          <w:rFonts w:ascii="Cambria" w:hAnsi="Cambria" w:cs="Times New Roman"/>
          <w:sz w:val="22"/>
          <w:szCs w:val="22"/>
        </w:rPr>
        <w:t>Willebrand</w:t>
      </w:r>
      <w:proofErr w:type="spellEnd"/>
      <w:r w:rsidRPr="00FA2EDD">
        <w:rPr>
          <w:rFonts w:ascii="Cambria" w:hAnsi="Cambria" w:cs="Times New Roman"/>
          <w:sz w:val="22"/>
          <w:szCs w:val="22"/>
        </w:rPr>
        <w:t xml:space="preserve"> disease; qualitative platelet defects; or a disorder of fibrinolysis) may not be </w:t>
      </w:r>
      <w:r>
        <w:rPr>
          <w:rFonts w:ascii="Cambria" w:hAnsi="Cambria" w:cs="Times New Roman"/>
          <w:sz w:val="22"/>
          <w:szCs w:val="22"/>
        </w:rPr>
        <w:t>identified by basic laboratory testing</w:t>
      </w:r>
    </w:p>
    <w:p w14:paraId="7966F602" w14:textId="77777777" w:rsidR="00FA2EDD" w:rsidRDefault="00FA2EDD" w:rsidP="00FA2EDD">
      <w:pPr>
        <w:pStyle w:val="ListParagraph"/>
        <w:numPr>
          <w:ilvl w:val="1"/>
          <w:numId w:val="1"/>
        </w:numPr>
        <w:rPr>
          <w:rFonts w:ascii="Cambria" w:hAnsi="Cambria" w:cs="Times New Roman"/>
          <w:sz w:val="22"/>
          <w:szCs w:val="22"/>
        </w:rPr>
      </w:pPr>
      <w:r w:rsidRPr="00FA2EDD">
        <w:rPr>
          <w:rFonts w:ascii="Cambria" w:hAnsi="Cambria" w:cs="Times New Roman"/>
          <w:sz w:val="22"/>
          <w:szCs w:val="22"/>
        </w:rPr>
        <w:t xml:space="preserve">Patients with mild </w:t>
      </w:r>
      <w:r>
        <w:rPr>
          <w:rFonts w:ascii="Cambria" w:hAnsi="Cambria" w:cs="Times New Roman"/>
          <w:sz w:val="22"/>
          <w:szCs w:val="22"/>
        </w:rPr>
        <w:t>factor XI deficiency, for exam</w:t>
      </w:r>
      <w:r w:rsidRPr="00FA2EDD">
        <w:rPr>
          <w:rFonts w:ascii="Cambria" w:hAnsi="Cambria" w:cs="Times New Roman"/>
          <w:sz w:val="22"/>
          <w:szCs w:val="22"/>
        </w:rPr>
        <w:t>ple, may hav</w:t>
      </w:r>
      <w:r>
        <w:rPr>
          <w:rFonts w:ascii="Cambria" w:hAnsi="Cambria" w:cs="Times New Roman"/>
          <w:sz w:val="22"/>
          <w:szCs w:val="22"/>
        </w:rPr>
        <w:t xml:space="preserve">e a normal or near-normal </w:t>
      </w:r>
      <w:proofErr w:type="spellStart"/>
      <w:r>
        <w:rPr>
          <w:rFonts w:ascii="Cambria" w:hAnsi="Cambria" w:cs="Times New Roman"/>
          <w:sz w:val="22"/>
          <w:szCs w:val="22"/>
        </w:rPr>
        <w:t>aPTT</w:t>
      </w:r>
      <w:proofErr w:type="spellEnd"/>
    </w:p>
    <w:p w14:paraId="7DF8914D" w14:textId="77777777" w:rsidR="00FA2EDD" w:rsidRPr="00FA2EDD" w:rsidRDefault="00FA2EDD" w:rsidP="00FA2EDD">
      <w:pPr>
        <w:pStyle w:val="ListParagraph"/>
        <w:numPr>
          <w:ilvl w:val="1"/>
          <w:numId w:val="1"/>
        </w:numPr>
        <w:rPr>
          <w:rFonts w:ascii="Cambria" w:hAnsi="Cambria" w:cs="Times New Roman"/>
          <w:sz w:val="22"/>
          <w:szCs w:val="22"/>
        </w:rPr>
      </w:pPr>
      <w:r w:rsidRPr="00FA2EDD">
        <w:rPr>
          <w:rFonts w:ascii="Cambria" w:hAnsi="Cambria" w:cs="Times New Roman"/>
          <w:sz w:val="22"/>
          <w:szCs w:val="22"/>
        </w:rPr>
        <w:t xml:space="preserve">Clinicians should maintain a high index of suspicion for these disorders in a patient with persistent unexplained surgical bleeding and test for specific coagulation factor levels as indicated </w:t>
      </w:r>
    </w:p>
    <w:p w14:paraId="43EB2A70" w14:textId="77777777" w:rsidR="00FA2EDD" w:rsidRPr="00FA2EDD" w:rsidRDefault="00FA2EDD" w:rsidP="00FA2EDD">
      <w:pPr>
        <w:pStyle w:val="ListParagraph"/>
        <w:numPr>
          <w:ilvl w:val="1"/>
          <w:numId w:val="1"/>
        </w:numPr>
        <w:rPr>
          <w:rFonts w:ascii="Cambria" w:hAnsi="Cambria" w:cs="Times New Roman"/>
          <w:sz w:val="22"/>
          <w:szCs w:val="22"/>
        </w:rPr>
      </w:pPr>
    </w:p>
    <w:p w14:paraId="2FC7E115" w14:textId="77777777" w:rsidR="00FA2EDD" w:rsidRPr="00CE4330" w:rsidRDefault="00FA2EDD" w:rsidP="00FA2EDD">
      <w:pPr>
        <w:pStyle w:val="ListParagraph"/>
        <w:numPr>
          <w:ilvl w:val="1"/>
          <w:numId w:val="1"/>
        </w:numPr>
        <w:rPr>
          <w:rFonts w:ascii="Cambria" w:hAnsi="Cambria" w:cs="Times New Roman"/>
          <w:sz w:val="22"/>
          <w:szCs w:val="22"/>
        </w:rPr>
      </w:pPr>
    </w:p>
    <w:p w14:paraId="2212A6AA" w14:textId="77777777" w:rsidR="007D6544" w:rsidRDefault="007D6544"/>
    <w:sectPr w:rsidR="007D6544" w:rsidSect="003563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0117"/>
    <w:multiLevelType w:val="hybridMultilevel"/>
    <w:tmpl w:val="E9BC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01909"/>
    <w:multiLevelType w:val="hybridMultilevel"/>
    <w:tmpl w:val="B5949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B7853"/>
    <w:multiLevelType w:val="hybridMultilevel"/>
    <w:tmpl w:val="BE3E0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CF021A"/>
    <w:multiLevelType w:val="hybridMultilevel"/>
    <w:tmpl w:val="A7864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10F55"/>
    <w:multiLevelType w:val="hybridMultilevel"/>
    <w:tmpl w:val="B608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DD"/>
    <w:rsid w:val="003563DC"/>
    <w:rsid w:val="005C055B"/>
    <w:rsid w:val="00675CA4"/>
    <w:rsid w:val="007D5556"/>
    <w:rsid w:val="007D6544"/>
    <w:rsid w:val="00C010EE"/>
    <w:rsid w:val="00F2144F"/>
    <w:rsid w:val="00FA2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F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DD"/>
    <w:pPr>
      <w:ind w:left="720"/>
      <w:contextualSpacing/>
    </w:pPr>
  </w:style>
  <w:style w:type="paragraph" w:styleId="BalloonText">
    <w:name w:val="Balloon Text"/>
    <w:basedOn w:val="Normal"/>
    <w:link w:val="BalloonTextChar"/>
    <w:uiPriority w:val="99"/>
    <w:semiHidden/>
    <w:unhideWhenUsed/>
    <w:rsid w:val="007D55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5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DD"/>
    <w:pPr>
      <w:ind w:left="720"/>
      <w:contextualSpacing/>
    </w:pPr>
  </w:style>
  <w:style w:type="paragraph" w:styleId="BalloonText">
    <w:name w:val="Balloon Text"/>
    <w:basedOn w:val="Normal"/>
    <w:link w:val="BalloonTextChar"/>
    <w:uiPriority w:val="99"/>
    <w:semiHidden/>
    <w:unhideWhenUsed/>
    <w:rsid w:val="007D55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5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737</Words>
  <Characters>4207</Characters>
  <Application>Microsoft Macintosh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2</cp:revision>
  <dcterms:created xsi:type="dcterms:W3CDTF">2016-03-07T02:40:00Z</dcterms:created>
  <dcterms:modified xsi:type="dcterms:W3CDTF">2016-03-19T17:12:00Z</dcterms:modified>
</cp:coreProperties>
</file>