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DFC9D" w14:textId="77777777" w:rsidR="007D6544" w:rsidRPr="00FF58CF" w:rsidRDefault="008B4407" w:rsidP="00FF58CF">
      <w:pPr>
        <w:pBdr>
          <w:bottom w:val="single" w:sz="12" w:space="1" w:color="auto"/>
        </w:pBdr>
        <w:jc w:val="center"/>
        <w:rPr>
          <w:b/>
          <w:bCs/>
          <w:smallCaps/>
        </w:rPr>
      </w:pPr>
      <w:r w:rsidRPr="00FF58CF">
        <w:rPr>
          <w:b/>
          <w:bCs/>
          <w:smallCaps/>
        </w:rPr>
        <w:t>Work Up for the Patient with a Bleeding Diathesis</w:t>
      </w:r>
    </w:p>
    <w:p w14:paraId="0F90ED2D" w14:textId="77777777" w:rsidR="008B4407" w:rsidRDefault="008B4407"/>
    <w:p w14:paraId="45E79E88" w14:textId="77777777" w:rsidR="00FF58CF" w:rsidRDefault="00FF58CF"/>
    <w:p w14:paraId="61B9904F" w14:textId="77777777" w:rsidR="00FF58CF" w:rsidRPr="007466E5" w:rsidRDefault="00FF58CF">
      <w:pPr>
        <w:rPr>
          <w:b/>
        </w:rPr>
      </w:pPr>
      <w:r w:rsidRPr="007466E5">
        <w:rPr>
          <w:b/>
        </w:rPr>
        <w:t>Clinical Features</w:t>
      </w:r>
    </w:p>
    <w:tbl>
      <w:tblPr>
        <w:tblW w:w="10800" w:type="dxa"/>
        <w:tblCellSpacing w:w="0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337"/>
        <w:gridCol w:w="3757"/>
      </w:tblGrid>
      <w:tr w:rsidR="00FF58CF" w:rsidRPr="00FF58CF" w14:paraId="3654CC02" w14:textId="77777777" w:rsidTr="007466E5">
        <w:trPr>
          <w:tblCellSpacing w:w="0" w:type="dxa"/>
        </w:trPr>
        <w:tc>
          <w:tcPr>
            <w:tcW w:w="2706" w:type="dxa"/>
            <w:vMerge w:val="restart"/>
            <w:vAlign w:val="center"/>
            <w:hideMark/>
          </w:tcPr>
          <w:p w14:paraId="26E21CCA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b/>
                <w:sz w:val="20"/>
                <w:szCs w:val="20"/>
              </w:rPr>
              <w:t>Bleeding symptoms</w:t>
            </w:r>
          </w:p>
        </w:tc>
        <w:tc>
          <w:tcPr>
            <w:tcW w:w="8094" w:type="dxa"/>
            <w:gridSpan w:val="2"/>
            <w:vAlign w:val="center"/>
            <w:hideMark/>
          </w:tcPr>
          <w:p w14:paraId="4B772F0C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b/>
                <w:sz w:val="20"/>
                <w:szCs w:val="20"/>
              </w:rPr>
              <w:t>Bleeding disorder</w:t>
            </w:r>
          </w:p>
        </w:tc>
      </w:tr>
      <w:tr w:rsidR="00FF58CF" w:rsidRPr="00FF58CF" w14:paraId="19962FF5" w14:textId="77777777" w:rsidTr="007466E5">
        <w:trPr>
          <w:tblCellSpacing w:w="0" w:type="dxa"/>
        </w:trPr>
        <w:tc>
          <w:tcPr>
            <w:tcW w:w="2706" w:type="dxa"/>
            <w:vMerge/>
            <w:vAlign w:val="center"/>
            <w:hideMark/>
          </w:tcPr>
          <w:p w14:paraId="6E232ABC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B6F79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Platelet defects (qualitative or quantitative)</w:t>
            </w:r>
          </w:p>
        </w:tc>
        <w:tc>
          <w:tcPr>
            <w:tcW w:w="3757" w:type="dxa"/>
            <w:vAlign w:val="center"/>
            <w:hideMark/>
          </w:tcPr>
          <w:p w14:paraId="5B60547D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Clotting factor deficiencies (</w:t>
            </w: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eg</w:t>
            </w:r>
            <w:proofErr w:type="spellEnd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, factor VIII or factor IX deficiencies)</w:t>
            </w:r>
          </w:p>
        </w:tc>
      </w:tr>
      <w:tr w:rsidR="00FF58CF" w:rsidRPr="00FF58CF" w14:paraId="086694C2" w14:textId="77777777" w:rsidTr="007466E5">
        <w:trPr>
          <w:tblCellSpacing w:w="0" w:type="dxa"/>
        </w:trPr>
        <w:tc>
          <w:tcPr>
            <w:tcW w:w="2706" w:type="dxa"/>
            <w:vAlign w:val="center"/>
            <w:hideMark/>
          </w:tcPr>
          <w:p w14:paraId="31BA76BD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Overview of bleeding events</w:t>
            </w:r>
          </w:p>
        </w:tc>
        <w:tc>
          <w:tcPr>
            <w:tcW w:w="0" w:type="auto"/>
            <w:vAlign w:val="center"/>
            <w:hideMark/>
          </w:tcPr>
          <w:p w14:paraId="5969F4FE" w14:textId="77777777" w:rsidR="00FF58CF" w:rsidRPr="00FF58CF" w:rsidRDefault="00FF58CF" w:rsidP="00FF58CF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FF58CF">
              <w:rPr>
                <w:rFonts w:ascii="Times" w:hAnsi="Times" w:cs="Times New Roman"/>
                <w:sz w:val="20"/>
                <w:szCs w:val="20"/>
              </w:rPr>
              <w:t>Mucocutaneous</w:t>
            </w:r>
            <w:proofErr w:type="spellEnd"/>
            <w:r w:rsidRPr="00FF58CF">
              <w:rPr>
                <w:rFonts w:ascii="Times" w:hAnsi="Times" w:cs="Times New Roman"/>
                <w:sz w:val="20"/>
                <w:szCs w:val="20"/>
              </w:rPr>
              <w:t xml:space="preserve"> bleeding</w:t>
            </w:r>
            <w:r w:rsidRPr="00FF58CF">
              <w:rPr>
                <w:rFonts w:ascii="Times" w:hAnsi="Times" w:cs="Times New Roman"/>
                <w:sz w:val="20"/>
                <w:szCs w:val="20"/>
              </w:rPr>
              <w:br/>
              <w:t>    (oral cavity, nasal, gastrointestinal, and genitourinary sites)</w:t>
            </w:r>
          </w:p>
        </w:tc>
        <w:tc>
          <w:tcPr>
            <w:tcW w:w="3757" w:type="dxa"/>
            <w:vAlign w:val="center"/>
            <w:hideMark/>
          </w:tcPr>
          <w:p w14:paraId="50E8A74A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Deep tissue bleeding</w:t>
            </w: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br/>
              <w:t>    (including joints and muscles)</w:t>
            </w:r>
          </w:p>
        </w:tc>
      </w:tr>
      <w:tr w:rsidR="00FF58CF" w:rsidRPr="00FF58CF" w14:paraId="07F2A27F" w14:textId="77777777" w:rsidTr="007466E5">
        <w:trPr>
          <w:tblCellSpacing w:w="0" w:type="dxa"/>
        </w:trPr>
        <w:tc>
          <w:tcPr>
            <w:tcW w:w="2706" w:type="dxa"/>
            <w:vAlign w:val="center"/>
            <w:hideMark/>
          </w:tcPr>
          <w:p w14:paraId="626585E8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Excessive bleeding after minor cuts</w:t>
            </w:r>
          </w:p>
        </w:tc>
        <w:tc>
          <w:tcPr>
            <w:tcW w:w="0" w:type="auto"/>
            <w:vAlign w:val="center"/>
            <w:hideMark/>
          </w:tcPr>
          <w:p w14:paraId="6BCEEE4B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Yes</w:t>
            </w:r>
          </w:p>
        </w:tc>
        <w:tc>
          <w:tcPr>
            <w:tcW w:w="3757" w:type="dxa"/>
            <w:vAlign w:val="center"/>
            <w:hideMark/>
          </w:tcPr>
          <w:p w14:paraId="7C98AB5A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Not usually</w:t>
            </w:r>
          </w:p>
        </w:tc>
      </w:tr>
      <w:tr w:rsidR="00FF58CF" w:rsidRPr="00FF58CF" w14:paraId="04758F27" w14:textId="77777777" w:rsidTr="007466E5">
        <w:trPr>
          <w:tblCellSpacing w:w="0" w:type="dxa"/>
        </w:trPr>
        <w:tc>
          <w:tcPr>
            <w:tcW w:w="2706" w:type="dxa"/>
            <w:vAlign w:val="center"/>
            <w:hideMark/>
          </w:tcPr>
          <w:p w14:paraId="02508CED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Petechiae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B08B5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Common</w:t>
            </w:r>
          </w:p>
        </w:tc>
        <w:tc>
          <w:tcPr>
            <w:tcW w:w="3757" w:type="dxa"/>
            <w:vAlign w:val="center"/>
            <w:hideMark/>
          </w:tcPr>
          <w:p w14:paraId="5EC9F2D4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Uncommon</w:t>
            </w:r>
          </w:p>
        </w:tc>
      </w:tr>
      <w:tr w:rsidR="00FF58CF" w:rsidRPr="00FF58CF" w14:paraId="4BFFD17C" w14:textId="77777777" w:rsidTr="007466E5">
        <w:trPr>
          <w:tblCellSpacing w:w="0" w:type="dxa"/>
        </w:trPr>
        <w:tc>
          <w:tcPr>
            <w:tcW w:w="2706" w:type="dxa"/>
            <w:vAlign w:val="center"/>
            <w:hideMark/>
          </w:tcPr>
          <w:p w14:paraId="2D01805E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Ecchymoses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66EA4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Generally small and superficial; may be significant, depending upon the defect or degree of thrombocytopenia</w:t>
            </w:r>
          </w:p>
        </w:tc>
        <w:tc>
          <w:tcPr>
            <w:tcW w:w="3757" w:type="dxa"/>
            <w:vAlign w:val="center"/>
            <w:hideMark/>
          </w:tcPr>
          <w:p w14:paraId="64EF50E8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May develop large subcutaneous and soft tissue hematomas</w:t>
            </w:r>
          </w:p>
        </w:tc>
      </w:tr>
      <w:tr w:rsidR="00FF58CF" w:rsidRPr="00FF58CF" w14:paraId="7F0D052B" w14:textId="77777777" w:rsidTr="007466E5">
        <w:trPr>
          <w:tblCellSpacing w:w="0" w:type="dxa"/>
        </w:trPr>
        <w:tc>
          <w:tcPr>
            <w:tcW w:w="2706" w:type="dxa"/>
            <w:vAlign w:val="center"/>
            <w:hideMark/>
          </w:tcPr>
          <w:p w14:paraId="30146FE5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Hemarthroses</w:t>
            </w:r>
            <w:proofErr w:type="spellEnd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, muscle hematomas</w:t>
            </w:r>
          </w:p>
        </w:tc>
        <w:tc>
          <w:tcPr>
            <w:tcW w:w="0" w:type="auto"/>
            <w:vAlign w:val="center"/>
            <w:hideMark/>
          </w:tcPr>
          <w:p w14:paraId="1B15629C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Uncommon</w:t>
            </w:r>
          </w:p>
        </w:tc>
        <w:tc>
          <w:tcPr>
            <w:tcW w:w="3757" w:type="dxa"/>
            <w:vAlign w:val="center"/>
            <w:hideMark/>
          </w:tcPr>
          <w:p w14:paraId="1E74B9EA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Common in severe deficiency states or in association with injury in those with mild to moderate deficiency states</w:t>
            </w:r>
          </w:p>
        </w:tc>
      </w:tr>
      <w:tr w:rsidR="00FF58CF" w:rsidRPr="00FF58CF" w14:paraId="065CF26E" w14:textId="77777777" w:rsidTr="007466E5">
        <w:trPr>
          <w:tblCellSpacing w:w="0" w:type="dxa"/>
        </w:trPr>
        <w:tc>
          <w:tcPr>
            <w:tcW w:w="2706" w:type="dxa"/>
            <w:vAlign w:val="center"/>
            <w:hideMark/>
          </w:tcPr>
          <w:p w14:paraId="318C478C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Bleeding with invasive procedures, including surgery</w:t>
            </w:r>
          </w:p>
        </w:tc>
        <w:tc>
          <w:tcPr>
            <w:tcW w:w="0" w:type="auto"/>
            <w:vAlign w:val="center"/>
            <w:hideMark/>
          </w:tcPr>
          <w:p w14:paraId="6DA18253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Often immediate, with degree of bleeding dependent upon the severity of the defect, ranging from none (</w:t>
            </w: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eg</w:t>
            </w:r>
            <w:proofErr w:type="spellEnd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, mild degrees of thrombocytopenia or mild platelet function defect) to mild to severe (</w:t>
            </w: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eg</w:t>
            </w:r>
            <w:proofErr w:type="spellEnd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Glanzmann</w:t>
            </w:r>
            <w:proofErr w:type="spellEnd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thrombasthenia</w:t>
            </w:r>
            <w:proofErr w:type="spellEnd"/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  <w:tc>
          <w:tcPr>
            <w:tcW w:w="3757" w:type="dxa"/>
            <w:vAlign w:val="center"/>
            <w:hideMark/>
          </w:tcPr>
          <w:p w14:paraId="68119A65" w14:textId="77777777" w:rsidR="00FF58CF" w:rsidRPr="00FF58CF" w:rsidRDefault="00FF58CF" w:rsidP="00FF58CF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58CF">
              <w:rPr>
                <w:rFonts w:ascii="Times" w:eastAsia="Times New Roman" w:hAnsi="Times" w:cs="Times New Roman"/>
                <w:sz w:val="20"/>
                <w:szCs w:val="20"/>
              </w:rPr>
              <w:t>May be associated either with procedural bleeding or delayed bleeding, depending upon the type and severity of the defect</w:t>
            </w:r>
          </w:p>
        </w:tc>
      </w:tr>
    </w:tbl>
    <w:p w14:paraId="36CD225B" w14:textId="77777777" w:rsidR="008B4407" w:rsidRDefault="008B4407"/>
    <w:p w14:paraId="76ABBFF7" w14:textId="77777777" w:rsidR="007466E5" w:rsidRPr="007466E5" w:rsidRDefault="007466E5">
      <w:pPr>
        <w:rPr>
          <w:b/>
        </w:rPr>
      </w:pPr>
      <w:r w:rsidRPr="007466E5">
        <w:rPr>
          <w:b/>
        </w:rPr>
        <w:t>Work Up</w:t>
      </w:r>
    </w:p>
    <w:p w14:paraId="58A4F63D" w14:textId="24F225E1" w:rsidR="002D2903" w:rsidRDefault="002D2903" w:rsidP="007466E5">
      <w:pPr>
        <w:pStyle w:val="ListParagraph"/>
        <w:numPr>
          <w:ilvl w:val="0"/>
          <w:numId w:val="1"/>
        </w:numPr>
      </w:pPr>
      <w:r>
        <w:t>Take Home</w:t>
      </w:r>
    </w:p>
    <w:p w14:paraId="4B8769C9" w14:textId="0A4D1976" w:rsidR="002D2903" w:rsidRDefault="006D2A2A" w:rsidP="002D2903">
      <w:pPr>
        <w:pStyle w:val="ListParagraph"/>
        <w:numPr>
          <w:ilvl w:val="1"/>
          <w:numId w:val="1"/>
        </w:numPr>
      </w:pPr>
      <w:r>
        <w:t xml:space="preserve">CBC, PT and </w:t>
      </w:r>
      <w:proofErr w:type="spellStart"/>
      <w:r>
        <w:t>aPTT</w:t>
      </w:r>
      <w:proofErr w:type="spellEnd"/>
      <w:r>
        <w:t xml:space="preserve">, and fibrinogen </w:t>
      </w:r>
      <w:r w:rsidR="002D2903">
        <w:t>to start in patients with a bleeding history</w:t>
      </w:r>
    </w:p>
    <w:p w14:paraId="78A3E4C1" w14:textId="44B30342" w:rsidR="002D2903" w:rsidRDefault="002D2903" w:rsidP="002D2903">
      <w:pPr>
        <w:pStyle w:val="ListParagraph"/>
        <w:numPr>
          <w:ilvl w:val="2"/>
          <w:numId w:val="1"/>
        </w:numPr>
      </w:pPr>
      <w:r>
        <w:t>If all those are normal, consider Platelet Function Analyzer-100</w:t>
      </w:r>
    </w:p>
    <w:p w14:paraId="3709FD9D" w14:textId="77777777" w:rsidR="002D2903" w:rsidRDefault="002D2903" w:rsidP="002D2903">
      <w:pPr>
        <w:pStyle w:val="ListParagraph"/>
        <w:numPr>
          <w:ilvl w:val="3"/>
          <w:numId w:val="1"/>
        </w:numPr>
      </w:pPr>
      <w:proofErr w:type="gramStart"/>
      <w:r>
        <w:t>which</w:t>
      </w:r>
      <w:proofErr w:type="gramEnd"/>
      <w:r>
        <w:t xml:space="preserve"> checks the amount of time it takes platelets to aggregate onto an aperture coated with a collagen/epinephrine membrane and a collagen/adenosine </w:t>
      </w:r>
      <w:proofErr w:type="spellStart"/>
      <w:r>
        <w:t>diphosphate</w:t>
      </w:r>
      <w:proofErr w:type="spellEnd"/>
      <w:r>
        <w:t xml:space="preserve"> membrane</w:t>
      </w:r>
    </w:p>
    <w:p w14:paraId="77D41B18" w14:textId="1553423C" w:rsidR="002D2903" w:rsidRPr="002D2903" w:rsidRDefault="002D2903" w:rsidP="002D2903">
      <w:pPr>
        <w:pStyle w:val="ListParagraph"/>
        <w:numPr>
          <w:ilvl w:val="4"/>
          <w:numId w:val="1"/>
        </w:numPr>
      </w:pPr>
      <w:r w:rsidRPr="002D2903">
        <w:t xml:space="preserve">Is there a prolonged aggregation time with both membranes? </w:t>
      </w:r>
    </w:p>
    <w:p w14:paraId="1F206FA4" w14:textId="77777777" w:rsidR="002D2903" w:rsidRPr="002D2903" w:rsidRDefault="002D2903" w:rsidP="002D2903">
      <w:pPr>
        <w:pStyle w:val="ListParagraph"/>
        <w:numPr>
          <w:ilvl w:val="5"/>
          <w:numId w:val="1"/>
        </w:numPr>
      </w:pPr>
      <w:r w:rsidRPr="002D2903">
        <w:t xml:space="preserve">Yes: Evaluate for von </w:t>
      </w:r>
      <w:proofErr w:type="spellStart"/>
      <w:r w:rsidRPr="002D2903">
        <w:t>Willebrand's</w:t>
      </w:r>
      <w:proofErr w:type="spellEnd"/>
      <w:r w:rsidRPr="002D2903">
        <w:t xml:space="preserve"> disease </w:t>
      </w:r>
    </w:p>
    <w:p w14:paraId="1FD5BCE7" w14:textId="77777777" w:rsidR="002D2903" w:rsidRDefault="002D2903" w:rsidP="002D2903">
      <w:pPr>
        <w:pStyle w:val="ListParagraph"/>
        <w:numPr>
          <w:ilvl w:val="5"/>
          <w:numId w:val="1"/>
        </w:numPr>
      </w:pPr>
      <w:r w:rsidRPr="002D2903">
        <w:t>No: If prolonged aggregation time is found only with the collagen/epinephrine membrane, look for dru</w:t>
      </w:r>
      <w:r>
        <w:t>g effect, such as from aspirin</w:t>
      </w:r>
    </w:p>
    <w:p w14:paraId="3A67AD3C" w14:textId="65BCB84A" w:rsidR="002D2903" w:rsidRPr="002D2903" w:rsidRDefault="002D2903" w:rsidP="002D2903">
      <w:pPr>
        <w:pStyle w:val="ListParagraph"/>
        <w:numPr>
          <w:ilvl w:val="5"/>
          <w:numId w:val="1"/>
        </w:numPr>
      </w:pPr>
      <w:r w:rsidRPr="002D2903">
        <w:t xml:space="preserve">If neither are prolonged, further evaluation is warranted, based on clinical suspicion </w:t>
      </w:r>
    </w:p>
    <w:p w14:paraId="2AB010B1" w14:textId="355276A1" w:rsidR="002D2903" w:rsidRDefault="00F60339" w:rsidP="00F60339">
      <w:pPr>
        <w:pStyle w:val="ListParagraph"/>
        <w:numPr>
          <w:ilvl w:val="2"/>
          <w:numId w:val="1"/>
        </w:numPr>
      </w:pPr>
      <w:r>
        <w:t xml:space="preserve">If PTT is abnormal and PT </w:t>
      </w:r>
      <w:proofErr w:type="spellStart"/>
      <w:r>
        <w:t>nl</w:t>
      </w:r>
      <w:proofErr w:type="spellEnd"/>
    </w:p>
    <w:p w14:paraId="4416AF5E" w14:textId="3A2566DB" w:rsidR="00F60339" w:rsidRDefault="00F60339" w:rsidP="00F60339">
      <w:pPr>
        <w:pStyle w:val="ListParagraph"/>
        <w:numPr>
          <w:ilvl w:val="3"/>
          <w:numId w:val="1"/>
        </w:numPr>
      </w:pPr>
      <w:r>
        <w:t>PTT mixing study</w:t>
      </w:r>
    </w:p>
    <w:p w14:paraId="77AE7BF9" w14:textId="22ECB3DF" w:rsidR="00F60339" w:rsidRPr="00F60339" w:rsidRDefault="00F60339" w:rsidP="00F60339">
      <w:pPr>
        <w:pStyle w:val="ListParagraph"/>
        <w:numPr>
          <w:ilvl w:val="4"/>
          <w:numId w:val="1"/>
        </w:numPr>
      </w:pPr>
      <w:r w:rsidRPr="00F60339">
        <w:t xml:space="preserve">Does partial </w:t>
      </w:r>
      <w:proofErr w:type="spellStart"/>
      <w:r w:rsidRPr="00F60339">
        <w:t>thromboplastin</w:t>
      </w:r>
      <w:proofErr w:type="spellEnd"/>
      <w:r w:rsidRPr="00F60339">
        <w:t xml:space="preserve"> time correct (normalize)? </w:t>
      </w:r>
    </w:p>
    <w:p w14:paraId="6DBD44F4" w14:textId="77777777" w:rsidR="00F60339" w:rsidRDefault="00F60339" w:rsidP="00F60339">
      <w:pPr>
        <w:pStyle w:val="ListParagraph"/>
        <w:numPr>
          <w:ilvl w:val="5"/>
          <w:numId w:val="1"/>
        </w:numPr>
      </w:pPr>
      <w:r w:rsidRPr="00F60339">
        <w:t xml:space="preserve">Yes: Factor VIII, IX, and XI assays. </w:t>
      </w:r>
    </w:p>
    <w:p w14:paraId="7BD6EBE0" w14:textId="110B47C5" w:rsidR="00F60339" w:rsidRPr="00F60339" w:rsidRDefault="00F60339" w:rsidP="00F60339">
      <w:pPr>
        <w:pStyle w:val="ListParagraph"/>
        <w:numPr>
          <w:ilvl w:val="6"/>
          <w:numId w:val="1"/>
        </w:numPr>
      </w:pPr>
      <w:r w:rsidRPr="00F60339">
        <w:t xml:space="preserve">If factor VIII low, work-up for von </w:t>
      </w:r>
      <w:proofErr w:type="spellStart"/>
      <w:r w:rsidRPr="00F60339">
        <w:t>Willebrand's</w:t>
      </w:r>
      <w:proofErr w:type="spellEnd"/>
      <w:r w:rsidRPr="00F60339">
        <w:t xml:space="preserve"> disease </w:t>
      </w:r>
    </w:p>
    <w:p w14:paraId="7F23EA48" w14:textId="77777777" w:rsidR="00F60339" w:rsidRDefault="00F60339" w:rsidP="00F60339">
      <w:pPr>
        <w:pStyle w:val="ListParagraph"/>
        <w:numPr>
          <w:ilvl w:val="5"/>
          <w:numId w:val="1"/>
        </w:numPr>
      </w:pPr>
      <w:r w:rsidRPr="00F60339">
        <w:t xml:space="preserve">No: Screen for inhibitors (lupus anticoagulant and factor VIII inhibitor) </w:t>
      </w:r>
    </w:p>
    <w:p w14:paraId="77533BC7" w14:textId="7BD2177A" w:rsidR="003E1C75" w:rsidRDefault="003E1C75" w:rsidP="003E1C75">
      <w:pPr>
        <w:pStyle w:val="ListParagraph"/>
        <w:numPr>
          <w:ilvl w:val="3"/>
          <w:numId w:val="1"/>
        </w:numPr>
      </w:pPr>
      <w:r>
        <w:t>Our lab</w:t>
      </w:r>
    </w:p>
    <w:p w14:paraId="4D1D65AA" w14:textId="13965A9A" w:rsidR="003E1C75" w:rsidRDefault="003E1C75" w:rsidP="003E1C75">
      <w:pPr>
        <w:pStyle w:val="ListParagraph"/>
        <w:numPr>
          <w:ilvl w:val="4"/>
          <w:numId w:val="1"/>
        </w:numPr>
      </w:pPr>
      <w:r>
        <w:t>First does a Thrombin time to r/o heparin and direct thrombin inhibitor</w:t>
      </w:r>
    </w:p>
    <w:p w14:paraId="45DB92AA" w14:textId="5D7E56CB" w:rsidR="003E1C75" w:rsidRDefault="003E1C75" w:rsidP="003E1C75">
      <w:pPr>
        <w:pStyle w:val="ListParagraph"/>
        <w:numPr>
          <w:ilvl w:val="5"/>
          <w:numId w:val="1"/>
        </w:numPr>
      </w:pPr>
      <w:r>
        <w:t>If abnormal</w:t>
      </w:r>
    </w:p>
    <w:p w14:paraId="6C3DA0D9" w14:textId="3F0514F0" w:rsidR="003E1C75" w:rsidRDefault="003E1C75" w:rsidP="003E1C75">
      <w:pPr>
        <w:pStyle w:val="ListParagraph"/>
        <w:numPr>
          <w:ilvl w:val="6"/>
          <w:numId w:val="1"/>
        </w:numPr>
      </w:pPr>
      <w:proofErr w:type="spellStart"/>
      <w:r>
        <w:t>Reptilase</w:t>
      </w:r>
      <w:proofErr w:type="spellEnd"/>
      <w:r>
        <w:t xml:space="preserve"> time</w:t>
      </w:r>
    </w:p>
    <w:p w14:paraId="52D48BD4" w14:textId="628D73D5" w:rsidR="003E1C75" w:rsidRDefault="003E1C75" w:rsidP="003E1C75">
      <w:pPr>
        <w:pStyle w:val="ListParagraph"/>
        <w:numPr>
          <w:ilvl w:val="5"/>
          <w:numId w:val="1"/>
        </w:numPr>
      </w:pPr>
      <w:r>
        <w:t>If normal</w:t>
      </w:r>
    </w:p>
    <w:p w14:paraId="41011B9F" w14:textId="6562E6A1" w:rsidR="003E1C75" w:rsidRPr="00F60339" w:rsidRDefault="003E1C75" w:rsidP="0036314C">
      <w:pPr>
        <w:ind w:left="720"/>
      </w:pPr>
      <w:r>
        <w:rPr>
          <w:noProof/>
        </w:rPr>
        <w:lastRenderedPageBreak/>
        <w:drawing>
          <wp:inline distT="0" distB="0" distL="0" distR="0" wp14:anchorId="7810EB6D" wp14:editId="6974BDD3">
            <wp:extent cx="6040055" cy="4290778"/>
            <wp:effectExtent l="0" t="0" r="5715" b="1905"/>
            <wp:docPr id="4" name="Picture 4" descr="Macintosh HD:Users:davidmiller:Downloads:FullSizeRender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miller:Downloads:FullSizeRender 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42" cy="429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BF6D" w14:textId="22F67E95" w:rsidR="0036314C" w:rsidRDefault="0036314C" w:rsidP="0036314C">
      <w:pPr>
        <w:pStyle w:val="ListParagraph"/>
        <w:numPr>
          <w:ilvl w:val="3"/>
          <w:numId w:val="1"/>
        </w:numPr>
      </w:pPr>
      <w:r>
        <w:t>If you suspect LAC, but the tests are negative</w:t>
      </w:r>
    </w:p>
    <w:p w14:paraId="1E3699CA" w14:textId="0A0DFB5B" w:rsidR="0036314C" w:rsidRDefault="0036314C" w:rsidP="0036314C">
      <w:pPr>
        <w:pStyle w:val="ListParagraph"/>
        <w:numPr>
          <w:ilvl w:val="4"/>
          <w:numId w:val="1"/>
        </w:numPr>
      </w:pPr>
      <w:r>
        <w:t>Can test factors</w:t>
      </w:r>
    </w:p>
    <w:p w14:paraId="2FB6920E" w14:textId="4159E076" w:rsidR="0036314C" w:rsidRDefault="0036314C" w:rsidP="0036314C">
      <w:pPr>
        <w:pStyle w:val="ListParagraph"/>
        <w:numPr>
          <w:ilvl w:val="5"/>
          <w:numId w:val="1"/>
        </w:numPr>
      </w:pPr>
      <w:r>
        <w:t>Test Factor XI</w:t>
      </w:r>
    </w:p>
    <w:p w14:paraId="379DC1ED" w14:textId="6B68F3F1" w:rsidR="00F60339" w:rsidRDefault="00F60339" w:rsidP="00F60339">
      <w:pPr>
        <w:pStyle w:val="ListParagraph"/>
        <w:numPr>
          <w:ilvl w:val="2"/>
          <w:numId w:val="1"/>
        </w:numPr>
      </w:pPr>
      <w:r>
        <w:t xml:space="preserve">If PT is abnormal and PTT </w:t>
      </w:r>
      <w:proofErr w:type="spellStart"/>
      <w:r>
        <w:t>nl</w:t>
      </w:r>
      <w:proofErr w:type="spellEnd"/>
    </w:p>
    <w:p w14:paraId="5A206E2C" w14:textId="1E70FD62" w:rsidR="00F60339" w:rsidRPr="00F60339" w:rsidRDefault="00F60339" w:rsidP="00F60339">
      <w:pPr>
        <w:pStyle w:val="ListParagraph"/>
        <w:numPr>
          <w:ilvl w:val="3"/>
          <w:numId w:val="1"/>
        </w:numPr>
      </w:pPr>
      <w:r w:rsidRPr="00F60339">
        <w:t xml:space="preserve">Determine if the patient is malnourished or if there is clinical suspicion for vitamin K deficiency </w:t>
      </w:r>
    </w:p>
    <w:p w14:paraId="6C295068" w14:textId="6A970190" w:rsidR="00F60339" w:rsidRPr="00F60339" w:rsidRDefault="00F60339" w:rsidP="00F60339">
      <w:pPr>
        <w:pStyle w:val="ListParagraph"/>
        <w:numPr>
          <w:ilvl w:val="3"/>
          <w:numId w:val="1"/>
        </w:numPr>
      </w:pPr>
      <w:r w:rsidRPr="00F60339">
        <w:t xml:space="preserve">Does prothrombin time correct or normalize with administration of vitamin K? </w:t>
      </w:r>
    </w:p>
    <w:p w14:paraId="07FEA1A4" w14:textId="77777777" w:rsidR="00F60339" w:rsidRPr="00F60339" w:rsidRDefault="00F60339" w:rsidP="00F60339">
      <w:pPr>
        <w:pStyle w:val="ListParagraph"/>
        <w:numPr>
          <w:ilvl w:val="4"/>
          <w:numId w:val="1"/>
        </w:numPr>
      </w:pPr>
      <w:r w:rsidRPr="00F60339">
        <w:t xml:space="preserve">Yes: Replace vitamin K as needed </w:t>
      </w:r>
    </w:p>
    <w:p w14:paraId="78CCFF3E" w14:textId="5B329C06" w:rsidR="00F60339" w:rsidRDefault="00F60339" w:rsidP="00F60339">
      <w:pPr>
        <w:pStyle w:val="ListParagraph"/>
        <w:numPr>
          <w:ilvl w:val="4"/>
          <w:numId w:val="1"/>
        </w:numPr>
      </w:pPr>
      <w:r w:rsidRPr="00F60339">
        <w:t xml:space="preserve">No: Factor assay for factor VII </w:t>
      </w:r>
    </w:p>
    <w:p w14:paraId="3F9884BF" w14:textId="23C08DB8" w:rsidR="00F60339" w:rsidRDefault="00F60339" w:rsidP="00F60339">
      <w:pPr>
        <w:pStyle w:val="ListParagraph"/>
        <w:numPr>
          <w:ilvl w:val="2"/>
          <w:numId w:val="1"/>
        </w:numPr>
      </w:pPr>
      <w:r>
        <w:t>If both PTT and PT are abnormal</w:t>
      </w:r>
    </w:p>
    <w:p w14:paraId="35B07CA0" w14:textId="60F9FAA9" w:rsidR="00F60339" w:rsidRPr="00F60339" w:rsidRDefault="00F60339" w:rsidP="00F60339">
      <w:pPr>
        <w:pStyle w:val="ListParagraph"/>
        <w:numPr>
          <w:ilvl w:val="3"/>
          <w:numId w:val="1"/>
        </w:numPr>
      </w:pPr>
      <w:r w:rsidRPr="00F60339">
        <w:t xml:space="preserve">Consider disseminated intravascular coagulopathy </w:t>
      </w:r>
    </w:p>
    <w:p w14:paraId="4EA9D938" w14:textId="77777777" w:rsidR="00F60339" w:rsidRPr="00F60339" w:rsidRDefault="00F60339" w:rsidP="00F60339">
      <w:pPr>
        <w:pStyle w:val="ListParagraph"/>
        <w:numPr>
          <w:ilvl w:val="3"/>
          <w:numId w:val="1"/>
        </w:numPr>
      </w:pPr>
      <w:r w:rsidRPr="00F60339">
        <w:t xml:space="preserve">Verify no use of warfarin (Coumadin) or heparin </w:t>
      </w:r>
    </w:p>
    <w:p w14:paraId="64FF240A" w14:textId="77777777" w:rsidR="00F60339" w:rsidRPr="00F60339" w:rsidRDefault="00F60339" w:rsidP="00F60339">
      <w:pPr>
        <w:pStyle w:val="ListParagraph"/>
        <w:numPr>
          <w:ilvl w:val="3"/>
          <w:numId w:val="1"/>
        </w:numPr>
      </w:pPr>
      <w:r w:rsidRPr="00F60339">
        <w:t xml:space="preserve">Verify no liver disease </w:t>
      </w:r>
    </w:p>
    <w:p w14:paraId="592962CF" w14:textId="5EE8DF62" w:rsidR="00F60339" w:rsidRDefault="00F60339" w:rsidP="00F60339">
      <w:pPr>
        <w:pStyle w:val="ListParagraph"/>
        <w:numPr>
          <w:ilvl w:val="3"/>
          <w:numId w:val="1"/>
        </w:numPr>
      </w:pPr>
      <w:r>
        <w:t>Next Step</w:t>
      </w:r>
    </w:p>
    <w:p w14:paraId="71121CD4" w14:textId="26CEA1DF" w:rsidR="00F60339" w:rsidRDefault="00F60339" w:rsidP="00F60339">
      <w:pPr>
        <w:pStyle w:val="ListParagraph"/>
        <w:numPr>
          <w:ilvl w:val="4"/>
          <w:numId w:val="1"/>
        </w:numPr>
      </w:pPr>
      <w:r>
        <w:t>Consider factor assays for factor deficiencies</w:t>
      </w:r>
    </w:p>
    <w:p w14:paraId="35F06ECD" w14:textId="77777777" w:rsidR="007466E5" w:rsidRPr="006036B9" w:rsidRDefault="007466E5" w:rsidP="007466E5">
      <w:pPr>
        <w:pStyle w:val="ListParagraph"/>
        <w:numPr>
          <w:ilvl w:val="0"/>
          <w:numId w:val="1"/>
        </w:numPr>
        <w:rPr>
          <w:b/>
        </w:rPr>
      </w:pPr>
      <w:r w:rsidRPr="006036B9">
        <w:rPr>
          <w:b/>
        </w:rPr>
        <w:t xml:space="preserve">PT and </w:t>
      </w:r>
      <w:proofErr w:type="spellStart"/>
      <w:r w:rsidRPr="006036B9">
        <w:rPr>
          <w:b/>
        </w:rPr>
        <w:t>aPTT</w:t>
      </w:r>
      <w:proofErr w:type="spellEnd"/>
    </w:p>
    <w:p w14:paraId="63D782EA" w14:textId="77777777" w:rsidR="005D297A" w:rsidRPr="005D297A" w:rsidRDefault="005D297A" w:rsidP="005D297A">
      <w:pPr>
        <w:pStyle w:val="ListParagraph"/>
        <w:numPr>
          <w:ilvl w:val="1"/>
          <w:numId w:val="1"/>
        </w:numPr>
      </w:pPr>
      <w:r>
        <w:rPr>
          <w:rStyle w:val="headingendmark"/>
          <w:rFonts w:eastAsia="Times New Roman" w:cs="Times New Roman"/>
        </w:rPr>
        <w:t> </w:t>
      </w:r>
      <w:r>
        <w:rPr>
          <w:rFonts w:eastAsia="Times New Roman" w:cs="Times New Roman"/>
        </w:rPr>
        <w:t xml:space="preserve">For patients who have a convincing bleeding history and normal PT and </w:t>
      </w:r>
      <w:proofErr w:type="spellStart"/>
      <w:r>
        <w:rPr>
          <w:rFonts w:eastAsia="Times New Roman" w:cs="Times New Roman"/>
        </w:rPr>
        <w:t>aPTT</w:t>
      </w:r>
      <w:proofErr w:type="spellEnd"/>
      <w:r>
        <w:rPr>
          <w:rFonts w:eastAsia="Times New Roman" w:cs="Times New Roman"/>
        </w:rPr>
        <w:t xml:space="preserve"> testing, it is important to evaluate the possibility of a platelet disorder; this is especially true for patients with a </w:t>
      </w:r>
      <w:proofErr w:type="spellStart"/>
      <w:r>
        <w:rPr>
          <w:rFonts w:eastAsia="Times New Roman" w:cs="Times New Roman"/>
        </w:rPr>
        <w:t>mucocutaneous</w:t>
      </w:r>
      <w:proofErr w:type="spellEnd"/>
      <w:r>
        <w:rPr>
          <w:rFonts w:eastAsia="Times New Roman" w:cs="Times New Roman"/>
        </w:rPr>
        <w:t xml:space="preserve"> bleeding pattern</w:t>
      </w:r>
    </w:p>
    <w:p w14:paraId="5DC6400B" w14:textId="77777777" w:rsidR="005D297A" w:rsidRDefault="005D297A" w:rsidP="005D297A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The first step is measurement of the </w:t>
      </w:r>
      <w:r w:rsidRPr="005D297A">
        <w:rPr>
          <w:rFonts w:eastAsia="Times New Roman" w:cs="Times New Roman"/>
          <w:b/>
        </w:rPr>
        <w:t>platelet count</w:t>
      </w:r>
    </w:p>
    <w:p w14:paraId="1993DB90" w14:textId="77777777" w:rsidR="007466E5" w:rsidRPr="006036B9" w:rsidRDefault="007466E5" w:rsidP="007466E5">
      <w:pPr>
        <w:pStyle w:val="ListParagraph"/>
        <w:numPr>
          <w:ilvl w:val="0"/>
          <w:numId w:val="1"/>
        </w:numPr>
        <w:rPr>
          <w:b/>
        </w:rPr>
      </w:pPr>
      <w:r w:rsidRPr="006036B9">
        <w:rPr>
          <w:b/>
        </w:rPr>
        <w:t>Bleeding time </w:t>
      </w:r>
    </w:p>
    <w:p w14:paraId="585AD690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>The bleeding time (BT) is a measure of the interaction of platel</w:t>
      </w:r>
      <w:r>
        <w:t>ets with the blood vessel wall</w:t>
      </w:r>
    </w:p>
    <w:p w14:paraId="2FE63572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>A prolonged bleeding time may occur in thrombocytopenia (platelet count usually below 50,000/microL), qualitative platelet abnormalities (</w:t>
      </w:r>
      <w:proofErr w:type="spellStart"/>
      <w:r w:rsidRPr="007466E5">
        <w:t>eg</w:t>
      </w:r>
      <w:proofErr w:type="spellEnd"/>
      <w:r w:rsidRPr="007466E5">
        <w:t xml:space="preserve">, uremia), von </w:t>
      </w:r>
      <w:proofErr w:type="spellStart"/>
      <w:r w:rsidRPr="007466E5">
        <w:t>Willebrand</w:t>
      </w:r>
      <w:proofErr w:type="spellEnd"/>
      <w:r w:rsidRPr="007466E5">
        <w:t xml:space="preserve"> disease (VWD), some cases of vascular </w:t>
      </w:r>
      <w:proofErr w:type="spellStart"/>
      <w:r w:rsidRPr="007466E5">
        <w:t>purpura</w:t>
      </w:r>
      <w:proofErr w:type="spellEnd"/>
      <w:r w:rsidRPr="007466E5">
        <w:t xml:space="preserve">, and severe fibrinogen deficiency, in which it is probably the </w:t>
      </w:r>
      <w:r>
        <w:t>result of platelet dysfunction</w:t>
      </w:r>
    </w:p>
    <w:p w14:paraId="2D9D15CE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 xml:space="preserve">Among patients with a normal platelet count who are not taking aspirin, the bleeding time is used primarily to screen patients for </w:t>
      </w:r>
      <w:r w:rsidRPr="007466E5">
        <w:rPr>
          <w:i/>
          <w:u w:val="single"/>
        </w:rPr>
        <w:t>inherited disorders of platelet function</w:t>
      </w:r>
      <w:r w:rsidRPr="007466E5">
        <w:t xml:space="preserve"> </w:t>
      </w:r>
    </w:p>
    <w:p w14:paraId="7E5A4CEF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 xml:space="preserve">An abnormal test in a patient with </w:t>
      </w:r>
      <w:proofErr w:type="spellStart"/>
      <w:r w:rsidRPr="007466E5">
        <w:t>mucocutaneous</w:t>
      </w:r>
      <w:proofErr w:type="spellEnd"/>
      <w:r w:rsidRPr="007466E5">
        <w:t xml:space="preserve"> bleeding would justify further testing for platelet dysfunction or specific tests fo</w:t>
      </w:r>
      <w:r>
        <w:t xml:space="preserve">r von </w:t>
      </w:r>
      <w:proofErr w:type="spellStart"/>
      <w:r>
        <w:t>Willebrand</w:t>
      </w:r>
      <w:proofErr w:type="spellEnd"/>
      <w:r>
        <w:t xml:space="preserve"> disease (VWD)</w:t>
      </w:r>
    </w:p>
    <w:p w14:paraId="69466981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 xml:space="preserve">However, a normal value for the BT should not preclude testing for VWD </w:t>
      </w:r>
    </w:p>
    <w:p w14:paraId="4D4A5D4B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 xml:space="preserve">A normal BT does not predict the safety of surgical procedures, nor does an abnormal BT </w:t>
      </w:r>
      <w:r>
        <w:t>predict for excessive bleeding</w:t>
      </w:r>
    </w:p>
    <w:p w14:paraId="38E9E182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 xml:space="preserve">Since assessment of the BT is subject to considerable variation due to technical factors in executing the test, a normal range for the test varies from laboratory to laboratory, </w:t>
      </w:r>
      <w:r>
        <w:t>and cannot be generalized here</w:t>
      </w:r>
    </w:p>
    <w:p w14:paraId="7F7D1B34" w14:textId="77777777" w:rsidR="007466E5" w:rsidRDefault="007466E5" w:rsidP="007466E5">
      <w:pPr>
        <w:pStyle w:val="ListParagraph"/>
        <w:numPr>
          <w:ilvl w:val="1"/>
          <w:numId w:val="1"/>
        </w:numPr>
      </w:pPr>
      <w:r w:rsidRPr="007466E5">
        <w:t xml:space="preserve">Of importance, the BT is </w:t>
      </w:r>
      <w:r w:rsidRPr="007466E5">
        <w:rPr>
          <w:b/>
          <w:bCs/>
        </w:rPr>
        <w:t>not recommended</w:t>
      </w:r>
      <w:r w:rsidRPr="007466E5">
        <w:t xml:space="preserve"> as</w:t>
      </w:r>
      <w:r>
        <w:t xml:space="preserve"> a preoperative screening test</w:t>
      </w:r>
    </w:p>
    <w:p w14:paraId="7D899811" w14:textId="77777777" w:rsidR="007466E5" w:rsidRPr="007466E5" w:rsidRDefault="007466E5" w:rsidP="007466E5">
      <w:pPr>
        <w:pStyle w:val="ListParagraph"/>
        <w:numPr>
          <w:ilvl w:val="1"/>
          <w:numId w:val="1"/>
        </w:numPr>
      </w:pPr>
      <w:r w:rsidRPr="007466E5">
        <w:t>Because of considerable variation due to technical factors in executing the test, the BT plays a limited role, if any, in evaluating hemostatic defects</w:t>
      </w:r>
    </w:p>
    <w:p w14:paraId="229BBFE2" w14:textId="77777777" w:rsidR="007466E5" w:rsidRPr="006036B9" w:rsidRDefault="007466E5" w:rsidP="007466E5">
      <w:pPr>
        <w:pStyle w:val="ListParagraph"/>
        <w:numPr>
          <w:ilvl w:val="0"/>
          <w:numId w:val="1"/>
        </w:numPr>
        <w:rPr>
          <w:rStyle w:val="headingendmark"/>
          <w:b/>
        </w:rPr>
      </w:pPr>
      <w:r w:rsidRPr="006036B9">
        <w:rPr>
          <w:rStyle w:val="h2"/>
          <w:rFonts w:eastAsia="Times New Roman" w:cs="Times New Roman"/>
          <w:b/>
        </w:rPr>
        <w:t>Prothrombin time</w:t>
      </w:r>
      <w:r w:rsidRPr="006036B9">
        <w:rPr>
          <w:rStyle w:val="headingendmark"/>
          <w:rFonts w:eastAsia="Times New Roman" w:cs="Times New Roman"/>
          <w:b/>
        </w:rPr>
        <w:t> </w:t>
      </w:r>
    </w:p>
    <w:p w14:paraId="4C1D16BF" w14:textId="77777777" w:rsidR="007466E5" w:rsidRPr="007466E5" w:rsidRDefault="007466E5" w:rsidP="007466E5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The production of fibrin via the extrinsic pathway and the final common pathway (common to both extrinsic and intrinsic cascades) requires tissue </w:t>
      </w:r>
      <w:proofErr w:type="spellStart"/>
      <w:r>
        <w:rPr>
          <w:rFonts w:eastAsia="Times New Roman" w:cs="Times New Roman"/>
        </w:rPr>
        <w:t>thromboplastin</w:t>
      </w:r>
      <w:proofErr w:type="spellEnd"/>
      <w:r>
        <w:rPr>
          <w:rFonts w:eastAsia="Times New Roman" w:cs="Times New Roman"/>
        </w:rPr>
        <w:t xml:space="preserve"> (tissue factor), factor VII (extrinsic pathway), and factors X, V, prothrombin (factor II), and fibrinogen</w:t>
      </w:r>
    </w:p>
    <w:p w14:paraId="12FE6878" w14:textId="77777777" w:rsidR="007466E5" w:rsidRPr="007466E5" w:rsidRDefault="007466E5" w:rsidP="007466E5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The functioning of these pathways is measured by the plasma prothrombin time </w:t>
      </w:r>
    </w:p>
    <w:p w14:paraId="44FA7738" w14:textId="77777777" w:rsidR="007466E5" w:rsidRPr="007466E5" w:rsidRDefault="007466E5" w:rsidP="007466E5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The test bypasses the intrinsic pathway and uses </w:t>
      </w:r>
      <w:proofErr w:type="spellStart"/>
      <w:r>
        <w:rPr>
          <w:rFonts w:eastAsia="Times New Roman" w:cs="Times New Roman"/>
        </w:rPr>
        <w:t>thromboplastins</w:t>
      </w:r>
      <w:proofErr w:type="spellEnd"/>
      <w:r>
        <w:rPr>
          <w:rFonts w:eastAsia="Times New Roman" w:cs="Times New Roman"/>
        </w:rPr>
        <w:t xml:space="preserve"> to substitute for platelets. </w:t>
      </w:r>
      <w:bookmarkStart w:id="0" w:name="_GoBack"/>
      <w:bookmarkEnd w:id="0"/>
      <w:r>
        <w:rPr>
          <w:rFonts w:eastAsia="Times New Roman" w:cs="Times New Roman"/>
        </w:rPr>
        <w:t xml:space="preserve">Within this combined pathway, factors VII, X, and prothrombin are vitamin-K dependent and are altered by </w:t>
      </w:r>
      <w:r w:rsidRPr="007466E5">
        <w:rPr>
          <w:rFonts w:eastAsia="Times New Roman" w:cs="Times New Roman"/>
        </w:rPr>
        <w:t>warfarin</w:t>
      </w:r>
    </w:p>
    <w:p w14:paraId="57BC7EF3" w14:textId="77777777" w:rsidR="007466E5" w:rsidRPr="007466E5" w:rsidRDefault="007466E5" w:rsidP="007466E5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>For this reason, the PT is used as a measure of the anticoagulant activity of warfarin and other vitamin K antagonists</w:t>
      </w:r>
    </w:p>
    <w:p w14:paraId="755F27C9" w14:textId="77777777" w:rsidR="007466E5" w:rsidRPr="006036B9" w:rsidRDefault="007466E5" w:rsidP="007466E5">
      <w:pPr>
        <w:pStyle w:val="ListParagraph"/>
        <w:numPr>
          <w:ilvl w:val="0"/>
          <w:numId w:val="1"/>
        </w:numPr>
        <w:rPr>
          <w:b/>
        </w:rPr>
      </w:pPr>
      <w:r w:rsidRPr="006036B9">
        <w:rPr>
          <w:b/>
        </w:rPr>
        <w:t xml:space="preserve">Thrombin time and </w:t>
      </w:r>
      <w:proofErr w:type="spellStart"/>
      <w:r w:rsidRPr="006036B9">
        <w:rPr>
          <w:b/>
        </w:rPr>
        <w:t>reptilase</w:t>
      </w:r>
      <w:proofErr w:type="spellEnd"/>
      <w:r w:rsidRPr="006036B9">
        <w:rPr>
          <w:b/>
        </w:rPr>
        <w:t xml:space="preserve"> time </w:t>
      </w:r>
    </w:p>
    <w:p w14:paraId="5E863F5B" w14:textId="77777777" w:rsidR="005D297A" w:rsidRDefault="007466E5" w:rsidP="007466E5">
      <w:pPr>
        <w:pStyle w:val="ListParagraph"/>
        <w:numPr>
          <w:ilvl w:val="1"/>
          <w:numId w:val="1"/>
        </w:numPr>
      </w:pPr>
      <w:r w:rsidRPr="006036B9">
        <w:rPr>
          <w:b/>
        </w:rPr>
        <w:t>The thrombin time (TT</w:t>
      </w:r>
      <w:r w:rsidRPr="007466E5">
        <w:t xml:space="preserve">) and </w:t>
      </w:r>
      <w:proofErr w:type="spellStart"/>
      <w:r w:rsidRPr="007466E5">
        <w:t>reptilase</w:t>
      </w:r>
      <w:proofErr w:type="spellEnd"/>
      <w:r w:rsidRPr="007466E5">
        <w:t xml:space="preserve"> time (RT) measure conversion of fibrinogen to fibrin monomers and the formation of initial clot by thrombin and </w:t>
      </w:r>
      <w:proofErr w:type="spellStart"/>
      <w:r w:rsidRPr="007466E5">
        <w:t>reptilase</w:t>
      </w:r>
      <w:proofErr w:type="spellEnd"/>
      <w:r w:rsidRPr="007466E5">
        <w:t xml:space="preserve">, respectively. </w:t>
      </w:r>
    </w:p>
    <w:p w14:paraId="5F397148" w14:textId="77777777" w:rsidR="005D297A" w:rsidRDefault="007466E5" w:rsidP="007466E5">
      <w:pPr>
        <w:pStyle w:val="ListParagraph"/>
        <w:numPr>
          <w:ilvl w:val="1"/>
          <w:numId w:val="1"/>
        </w:numPr>
      </w:pPr>
      <w:proofErr w:type="spellStart"/>
      <w:r w:rsidRPr="007466E5">
        <w:t>Reptilase</w:t>
      </w:r>
      <w:proofErr w:type="spellEnd"/>
      <w:r w:rsidRPr="007466E5">
        <w:t xml:space="preserve">, a thrombin-like snake enzyme, differs from thrombin by generating </w:t>
      </w:r>
      <w:proofErr w:type="spellStart"/>
      <w:r w:rsidRPr="007466E5">
        <w:t>fibrinopeptide</w:t>
      </w:r>
      <w:proofErr w:type="spellEnd"/>
      <w:r w:rsidRPr="007466E5">
        <w:t xml:space="preserve"> A but not </w:t>
      </w:r>
      <w:proofErr w:type="spellStart"/>
      <w:r w:rsidRPr="007466E5">
        <w:t>fibrinopeptide</w:t>
      </w:r>
      <w:proofErr w:type="spellEnd"/>
      <w:r w:rsidRPr="007466E5">
        <w:t xml:space="preserve"> B from fibrinogen and by resisting inhibiti</w:t>
      </w:r>
      <w:r w:rsidR="005D297A">
        <w:t xml:space="preserve">on by heparin via </w:t>
      </w:r>
      <w:proofErr w:type="spellStart"/>
      <w:r w:rsidR="005D297A">
        <w:t>antithrombin</w:t>
      </w:r>
      <w:proofErr w:type="spellEnd"/>
    </w:p>
    <w:p w14:paraId="39BBAE39" w14:textId="77777777" w:rsidR="005D297A" w:rsidRDefault="007466E5" w:rsidP="005D297A">
      <w:pPr>
        <w:pStyle w:val="ListParagraph"/>
        <w:numPr>
          <w:ilvl w:val="1"/>
          <w:numId w:val="1"/>
        </w:numPr>
      </w:pPr>
      <w:r w:rsidRPr="007466E5">
        <w:t xml:space="preserve">Fibrin strand cross-linking, which is mediated by factor XIII, </w:t>
      </w:r>
      <w:r w:rsidR="005D297A">
        <w:t>is not measured by these assays</w:t>
      </w:r>
    </w:p>
    <w:p w14:paraId="70179D17" w14:textId="77777777" w:rsidR="005D297A" w:rsidRDefault="007466E5" w:rsidP="005D297A">
      <w:pPr>
        <w:pStyle w:val="ListParagraph"/>
        <w:numPr>
          <w:ilvl w:val="1"/>
          <w:numId w:val="1"/>
        </w:numPr>
      </w:pPr>
      <w:r w:rsidRPr="007466E5">
        <w:t xml:space="preserve">Prolonged thrombin times and </w:t>
      </w:r>
      <w:proofErr w:type="spellStart"/>
      <w:r w:rsidRPr="007466E5">
        <w:t>reptilase</w:t>
      </w:r>
      <w:proofErr w:type="spellEnd"/>
      <w:r w:rsidRPr="007466E5">
        <w:t xml:space="preserve"> times may be due to </w:t>
      </w:r>
      <w:proofErr w:type="spellStart"/>
      <w:r w:rsidRPr="008E6028">
        <w:rPr>
          <w:i/>
          <w:u w:val="single"/>
        </w:rPr>
        <w:t>hypofibrinogenemia</w:t>
      </w:r>
      <w:proofErr w:type="spellEnd"/>
      <w:r w:rsidRPr="007466E5">
        <w:t>, structurally abnormal fibrinogens (</w:t>
      </w:r>
      <w:proofErr w:type="spellStart"/>
      <w:r w:rsidRPr="008E6028">
        <w:rPr>
          <w:i/>
          <w:u w:val="single"/>
        </w:rPr>
        <w:t>dysfibrinogens</w:t>
      </w:r>
      <w:proofErr w:type="spellEnd"/>
      <w:r w:rsidRPr="007466E5">
        <w:t xml:space="preserve">), or </w:t>
      </w:r>
      <w:r w:rsidRPr="008E6028">
        <w:rPr>
          <w:i/>
          <w:u w:val="single"/>
        </w:rPr>
        <w:t>i</w:t>
      </w:r>
      <w:r w:rsidR="005D297A" w:rsidRPr="008E6028">
        <w:rPr>
          <w:i/>
          <w:u w:val="single"/>
        </w:rPr>
        <w:t>ncreased fibrin split products</w:t>
      </w:r>
      <w:r w:rsidR="005D297A">
        <w:t xml:space="preserve"> </w:t>
      </w:r>
    </w:p>
    <w:p w14:paraId="54F27A22" w14:textId="77777777" w:rsidR="005D297A" w:rsidRDefault="007466E5" w:rsidP="005D297A">
      <w:pPr>
        <w:pStyle w:val="ListParagraph"/>
        <w:numPr>
          <w:ilvl w:val="1"/>
          <w:numId w:val="1"/>
        </w:numPr>
      </w:pPr>
      <w:r w:rsidRPr="007466E5">
        <w:t xml:space="preserve">Since heparin prolongs the TT but not the RT, the RT is useful for determining if heparin </w:t>
      </w:r>
      <w:r w:rsidR="005D297A">
        <w:t>is the cause of a prolonged TT</w:t>
      </w:r>
    </w:p>
    <w:p w14:paraId="75445113" w14:textId="77777777" w:rsidR="007466E5" w:rsidRPr="007466E5" w:rsidRDefault="007466E5" w:rsidP="005D297A">
      <w:pPr>
        <w:pStyle w:val="ListParagraph"/>
        <w:numPr>
          <w:ilvl w:val="1"/>
          <w:numId w:val="1"/>
        </w:numPr>
      </w:pPr>
      <w:r w:rsidRPr="007466E5">
        <w:t xml:space="preserve">Alternatively, one can test for heparin activity via its anti-factor </w:t>
      </w:r>
      <w:proofErr w:type="spellStart"/>
      <w:r w:rsidRPr="007466E5">
        <w:t>Xa</w:t>
      </w:r>
      <w:proofErr w:type="spellEnd"/>
      <w:r w:rsidRPr="007466E5">
        <w:t xml:space="preserve"> activity, or with the use of a commercial </w:t>
      </w:r>
      <w:proofErr w:type="spellStart"/>
      <w:r w:rsidRPr="007466E5">
        <w:t>heparinase</w:t>
      </w:r>
      <w:proofErr w:type="spellEnd"/>
    </w:p>
    <w:p w14:paraId="7CAD4676" w14:textId="0A6275E6" w:rsidR="00E30F77" w:rsidRPr="006036B9" w:rsidRDefault="00E30F77" w:rsidP="00685591">
      <w:pPr>
        <w:pStyle w:val="ListParagraph"/>
        <w:numPr>
          <w:ilvl w:val="0"/>
          <w:numId w:val="1"/>
        </w:numPr>
        <w:rPr>
          <w:b/>
        </w:rPr>
      </w:pPr>
      <w:r w:rsidRPr="006036B9">
        <w:rPr>
          <w:b/>
        </w:rPr>
        <w:t>Urea Clot Test</w:t>
      </w:r>
    </w:p>
    <w:p w14:paraId="2FE9ADEC" w14:textId="77777777" w:rsidR="00E30F77" w:rsidRDefault="00E30F77" w:rsidP="00E30F77">
      <w:pPr>
        <w:pStyle w:val="ListParagraph"/>
        <w:numPr>
          <w:ilvl w:val="1"/>
          <w:numId w:val="1"/>
        </w:numPr>
      </w:pPr>
      <w:r>
        <w:t>Factor XIII Deficiency</w:t>
      </w:r>
    </w:p>
    <w:p w14:paraId="32C20543" w14:textId="77777777" w:rsidR="00E30F77" w:rsidRPr="008968F0" w:rsidRDefault="00E30F77" w:rsidP="00E30F77">
      <w:pPr>
        <w:pStyle w:val="ListParagraph"/>
        <w:numPr>
          <w:ilvl w:val="2"/>
          <w:numId w:val="1"/>
        </w:numPr>
      </w:pPr>
      <w:r>
        <w:t>F</w:t>
      </w:r>
      <w:r>
        <w:rPr>
          <w:rFonts w:eastAsia="Times New Roman" w:cs="Times New Roman"/>
        </w:rPr>
        <w:t>actor XIII deficiency (FXIII), an extremely rare disorder with a reported prevalence of one in one million in the homozygous state</w:t>
      </w:r>
    </w:p>
    <w:p w14:paraId="58509C9A" w14:textId="77777777" w:rsidR="00E30F77" w:rsidRPr="008968F0" w:rsidRDefault="00E30F77" w:rsidP="00E30F77">
      <w:pPr>
        <w:pStyle w:val="ListParagraph"/>
        <w:numPr>
          <w:ilvl w:val="2"/>
          <w:numId w:val="1"/>
        </w:numPr>
      </w:pPr>
      <w:r>
        <w:rPr>
          <w:rFonts w:eastAsia="Times New Roman" w:cs="Times New Roman"/>
        </w:rPr>
        <w:t>It is extremely important to diagnose it promptly because these patients tend to develop intracranial hemorrhages</w:t>
      </w:r>
    </w:p>
    <w:p w14:paraId="2794A1CE" w14:textId="77777777" w:rsidR="00E30F77" w:rsidRPr="008968F0" w:rsidRDefault="00E30F77" w:rsidP="00E30F77">
      <w:pPr>
        <w:pStyle w:val="ListParagraph"/>
        <w:numPr>
          <w:ilvl w:val="2"/>
          <w:numId w:val="1"/>
        </w:numPr>
      </w:pPr>
      <w:r>
        <w:rPr>
          <w:rFonts w:eastAsia="Times New Roman" w:cs="Times New Roman"/>
        </w:rPr>
        <w:t>All coagulation screening laboratory tests are normal even in the presence of FXIII levels that are &lt; 1%</w:t>
      </w:r>
    </w:p>
    <w:p w14:paraId="0C1017DB" w14:textId="77777777" w:rsidR="00E30F77" w:rsidRPr="008968F0" w:rsidRDefault="00E30F77" w:rsidP="00E30F77">
      <w:pPr>
        <w:pStyle w:val="ListParagraph"/>
        <w:numPr>
          <w:ilvl w:val="2"/>
          <w:numId w:val="1"/>
        </w:numPr>
      </w:pPr>
      <w:r>
        <w:rPr>
          <w:rFonts w:eastAsia="Times New Roman" w:cs="Times New Roman"/>
        </w:rPr>
        <w:t>Therefore, if the disorder is suspected, the urea clot test (a screening test for this deficiency) should be sent</w:t>
      </w:r>
    </w:p>
    <w:p w14:paraId="606FF2FD" w14:textId="77777777" w:rsidR="00E30F77" w:rsidRPr="008968F0" w:rsidRDefault="00E30F77" w:rsidP="00E30F77">
      <w:pPr>
        <w:pStyle w:val="ListParagraph"/>
        <w:numPr>
          <w:ilvl w:val="2"/>
          <w:numId w:val="1"/>
        </w:numPr>
      </w:pPr>
      <w:r>
        <w:rPr>
          <w:rFonts w:eastAsia="Times New Roman" w:cs="Times New Roman"/>
        </w:rPr>
        <w:t xml:space="preserve">Ideally, the deficiency should be confirmed with measurement of the FXIII antigen by an enzyme-linked </w:t>
      </w:r>
      <w:proofErr w:type="spellStart"/>
      <w:r>
        <w:rPr>
          <w:rFonts w:eastAsia="Times New Roman" w:cs="Times New Roman"/>
        </w:rPr>
        <w:t>immunosorbent</w:t>
      </w:r>
      <w:proofErr w:type="spellEnd"/>
      <w:r>
        <w:rPr>
          <w:rFonts w:eastAsia="Times New Roman" w:cs="Times New Roman"/>
        </w:rPr>
        <w:t xml:space="preserve"> assay (ELISA) test</w:t>
      </w:r>
    </w:p>
    <w:p w14:paraId="41C9CA39" w14:textId="77777777" w:rsidR="00E30F77" w:rsidRPr="008968F0" w:rsidRDefault="00E30F77" w:rsidP="00E30F77">
      <w:pPr>
        <w:pStyle w:val="ListParagraph"/>
        <w:numPr>
          <w:ilvl w:val="2"/>
          <w:numId w:val="1"/>
        </w:numPr>
      </w:pPr>
      <w:r>
        <w:rPr>
          <w:rFonts w:eastAsia="Times New Roman" w:cs="Times New Roman"/>
        </w:rPr>
        <w:t xml:space="preserve">FXIII infusions in the form of cryoprecipitate or plasma-derived product should be infused for the treatment of FXIII-related bleeding </w:t>
      </w:r>
    </w:p>
    <w:p w14:paraId="1E75058B" w14:textId="127A6AD2" w:rsidR="00E30F77" w:rsidRDefault="00E30F77" w:rsidP="00A51F3F">
      <w:pPr>
        <w:pStyle w:val="ListParagraph"/>
        <w:numPr>
          <w:ilvl w:val="2"/>
          <w:numId w:val="1"/>
        </w:numPr>
      </w:pPr>
      <w:r>
        <w:rPr>
          <w:rFonts w:eastAsia="Times New Roman" w:cs="Times New Roman"/>
        </w:rPr>
        <w:t>Patients should be treated prophylactically with factor concentrates monthly infusion</w:t>
      </w:r>
      <w:r w:rsidR="00A51F3F">
        <w:rPr>
          <w:rFonts w:eastAsia="Times New Roman" w:cs="Times New Roman"/>
        </w:rPr>
        <w:t>s (FXIII half-life = 9-14 days)</w:t>
      </w:r>
    </w:p>
    <w:p w14:paraId="192D26C9" w14:textId="4A942034" w:rsidR="006036B9" w:rsidRPr="006036B9" w:rsidRDefault="006036B9" w:rsidP="00685591">
      <w:pPr>
        <w:pStyle w:val="ListParagraph"/>
        <w:numPr>
          <w:ilvl w:val="0"/>
          <w:numId w:val="1"/>
        </w:numPr>
        <w:rPr>
          <w:b/>
        </w:rPr>
      </w:pPr>
      <w:r w:rsidRPr="006036B9">
        <w:rPr>
          <w:b/>
        </w:rPr>
        <w:t>Factor Assessment</w:t>
      </w:r>
    </w:p>
    <w:p w14:paraId="7435AF54" w14:textId="4A4F9E3A" w:rsidR="006036B9" w:rsidRDefault="006036B9" w:rsidP="006036B9">
      <w:pPr>
        <w:pStyle w:val="ListParagraph"/>
        <w:numPr>
          <w:ilvl w:val="1"/>
          <w:numId w:val="1"/>
        </w:numPr>
      </w:pPr>
      <w:r>
        <w:t>Factor Levels can be used to help distinguish between:</w:t>
      </w:r>
    </w:p>
    <w:p w14:paraId="71B73E84" w14:textId="77777777" w:rsidR="006036B9" w:rsidRDefault="006036B9" w:rsidP="006036B9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Liver Dz vs. </w:t>
      </w:r>
      <w:proofErr w:type="spellStart"/>
      <w:r>
        <w:rPr>
          <w:rFonts w:ascii="Cambria" w:hAnsi="Cambria"/>
        </w:rPr>
        <w:t>Vit</w:t>
      </w:r>
      <w:proofErr w:type="spellEnd"/>
      <w:r>
        <w:rPr>
          <w:rFonts w:ascii="Cambria" w:hAnsi="Cambria"/>
        </w:rPr>
        <w:t xml:space="preserve"> K Deficiency</w:t>
      </w:r>
    </w:p>
    <w:p w14:paraId="1DE647DD" w14:textId="77777777" w:rsidR="006036B9" w:rsidRDefault="006036B9" w:rsidP="006036B9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Measure Factor V</w:t>
      </w:r>
    </w:p>
    <w:p w14:paraId="265FB125" w14:textId="77777777" w:rsidR="006036B9" w:rsidRDefault="006036B9" w:rsidP="006036B9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Factor V is made in the liver, thus will be low in liver dz, but is not </w:t>
      </w:r>
      <w:proofErr w:type="spellStart"/>
      <w:r>
        <w:rPr>
          <w:rFonts w:ascii="Cambria" w:hAnsi="Cambria"/>
        </w:rPr>
        <w:t>vit</w:t>
      </w:r>
      <w:proofErr w:type="spellEnd"/>
      <w:r>
        <w:rPr>
          <w:rFonts w:ascii="Cambria" w:hAnsi="Cambria"/>
        </w:rPr>
        <w:t xml:space="preserve"> K dependent</w:t>
      </w:r>
    </w:p>
    <w:p w14:paraId="401B9356" w14:textId="77777777" w:rsidR="006036B9" w:rsidRPr="00907250" w:rsidRDefault="006036B9" w:rsidP="006036B9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Thus</w:t>
      </w:r>
      <w:proofErr w:type="gramStart"/>
      <w:r>
        <w:rPr>
          <w:rFonts w:ascii="Cambria" w:hAnsi="Cambria"/>
        </w:rPr>
        <w:t>,  a</w:t>
      </w:r>
      <w:proofErr w:type="gramEnd"/>
      <w:r>
        <w:rPr>
          <w:rFonts w:ascii="Cambria" w:hAnsi="Cambria"/>
        </w:rPr>
        <w:t xml:space="preserve"> normal Factor V and low II, VII, IX, X if indicative of </w:t>
      </w:r>
      <w:proofErr w:type="spellStart"/>
      <w:r>
        <w:rPr>
          <w:rFonts w:ascii="Cambria" w:hAnsi="Cambria"/>
        </w:rPr>
        <w:t>Vit</w:t>
      </w:r>
      <w:proofErr w:type="spellEnd"/>
      <w:r>
        <w:rPr>
          <w:rFonts w:ascii="Cambria" w:hAnsi="Cambria"/>
        </w:rPr>
        <w:t xml:space="preserve"> K deficiency</w:t>
      </w:r>
    </w:p>
    <w:p w14:paraId="5E4FF17C" w14:textId="40C893A3" w:rsidR="006036B9" w:rsidRDefault="006036B9" w:rsidP="006036B9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t xml:space="preserve">In addition, factor levels can be used to assess if a </w:t>
      </w:r>
      <w:r w:rsidR="00F64FB2">
        <w:rPr>
          <w:rFonts w:ascii="Cambria" w:hAnsi="Cambria"/>
        </w:rPr>
        <w:t xml:space="preserve">Coagulopathy is due to </w:t>
      </w:r>
      <w:r>
        <w:rPr>
          <w:rFonts w:ascii="Cambria" w:hAnsi="Cambria"/>
        </w:rPr>
        <w:t>Liver Disease</w:t>
      </w:r>
    </w:p>
    <w:p w14:paraId="3BF00C12" w14:textId="77777777" w:rsidR="006036B9" w:rsidRDefault="006036B9" w:rsidP="006036B9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Increased Factor VIII</w:t>
      </w:r>
    </w:p>
    <w:p w14:paraId="030BE935" w14:textId="77777777" w:rsidR="006036B9" w:rsidRDefault="006036B9" w:rsidP="006036B9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In liver disease, all the factors are low, except Factor VIII, which is made by the endothelial cells</w:t>
      </w:r>
    </w:p>
    <w:p w14:paraId="2FA439F1" w14:textId="3C252D2D" w:rsidR="006036B9" w:rsidRPr="006036B9" w:rsidRDefault="006036B9" w:rsidP="006036B9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In addition, good hepatic function is required for factor VIII clearance, thus, factor VIII levels are increased in liver disease</w:t>
      </w:r>
    </w:p>
    <w:p w14:paraId="5069BCDA" w14:textId="7341EFB4" w:rsidR="00685591" w:rsidRDefault="00685591" w:rsidP="00685591">
      <w:pPr>
        <w:pStyle w:val="ListParagraph"/>
        <w:numPr>
          <w:ilvl w:val="0"/>
          <w:numId w:val="1"/>
        </w:numPr>
      </w:pPr>
      <w:r>
        <w:t>Assess for Medications</w:t>
      </w:r>
    </w:p>
    <w:p w14:paraId="3FCE9549" w14:textId="60F141C4" w:rsidR="00685591" w:rsidRDefault="00685591" w:rsidP="00685591">
      <w:pPr>
        <w:pStyle w:val="ListParagraph"/>
        <w:numPr>
          <w:ilvl w:val="1"/>
          <w:numId w:val="1"/>
        </w:numPr>
      </w:pPr>
      <w:r>
        <w:t>SSRIs</w:t>
      </w:r>
    </w:p>
    <w:p w14:paraId="4395B298" w14:textId="2274E029" w:rsidR="00685591" w:rsidRDefault="00685591" w:rsidP="00685591">
      <w:pPr>
        <w:pStyle w:val="ListParagraph"/>
        <w:numPr>
          <w:ilvl w:val="1"/>
          <w:numId w:val="1"/>
        </w:numPr>
      </w:pPr>
      <w:proofErr w:type="spellStart"/>
      <w:r>
        <w:t>Antiplatelets</w:t>
      </w:r>
      <w:proofErr w:type="spellEnd"/>
    </w:p>
    <w:p w14:paraId="3BA469B1" w14:textId="633BE625" w:rsidR="007466E5" w:rsidRDefault="007F30A3">
      <w:r>
        <w:rPr>
          <w:rFonts w:ascii="Helvetica" w:hAnsi="Helvetica" w:cs="Helvetica"/>
          <w:noProof/>
        </w:rPr>
        <w:drawing>
          <wp:inline distT="0" distB="0" distL="0" distR="0" wp14:anchorId="17698565" wp14:editId="1BDAC5DB">
            <wp:extent cx="6858000" cy="4861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6E5" w:rsidSect="00746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1E8A"/>
    <w:multiLevelType w:val="hybridMultilevel"/>
    <w:tmpl w:val="98E2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43908"/>
    <w:multiLevelType w:val="hybridMultilevel"/>
    <w:tmpl w:val="69185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653228E"/>
    <w:multiLevelType w:val="hybridMultilevel"/>
    <w:tmpl w:val="B99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D0921"/>
    <w:multiLevelType w:val="hybridMultilevel"/>
    <w:tmpl w:val="D6CA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07"/>
    <w:rsid w:val="002D2903"/>
    <w:rsid w:val="0035282F"/>
    <w:rsid w:val="0036314C"/>
    <w:rsid w:val="003E1C75"/>
    <w:rsid w:val="005D297A"/>
    <w:rsid w:val="005E2114"/>
    <w:rsid w:val="006036B9"/>
    <w:rsid w:val="00685591"/>
    <w:rsid w:val="006D2A2A"/>
    <w:rsid w:val="007466E5"/>
    <w:rsid w:val="007D6544"/>
    <w:rsid w:val="007F30A3"/>
    <w:rsid w:val="008B4407"/>
    <w:rsid w:val="008E6028"/>
    <w:rsid w:val="00A51F3F"/>
    <w:rsid w:val="00B5608E"/>
    <w:rsid w:val="00E30F77"/>
    <w:rsid w:val="00E32FE0"/>
    <w:rsid w:val="00F60339"/>
    <w:rsid w:val="00F64FB2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D3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46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6E5"/>
    <w:rPr>
      <w:color w:val="0000FF" w:themeColor="hyperlink"/>
      <w:u w:val="single"/>
    </w:rPr>
  </w:style>
  <w:style w:type="character" w:customStyle="1" w:styleId="h2">
    <w:name w:val="h2"/>
    <w:basedOn w:val="DefaultParagraphFont"/>
    <w:rsid w:val="007466E5"/>
  </w:style>
  <w:style w:type="character" w:customStyle="1" w:styleId="headingendmark">
    <w:name w:val="headingendmark"/>
    <w:basedOn w:val="DefaultParagraphFont"/>
    <w:rsid w:val="007466E5"/>
  </w:style>
  <w:style w:type="paragraph" w:styleId="BalloonText">
    <w:name w:val="Balloon Text"/>
    <w:basedOn w:val="Normal"/>
    <w:link w:val="BalloonTextChar"/>
    <w:uiPriority w:val="99"/>
    <w:semiHidden/>
    <w:unhideWhenUsed/>
    <w:rsid w:val="007F30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46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6E5"/>
    <w:rPr>
      <w:color w:val="0000FF" w:themeColor="hyperlink"/>
      <w:u w:val="single"/>
    </w:rPr>
  </w:style>
  <w:style w:type="character" w:customStyle="1" w:styleId="h2">
    <w:name w:val="h2"/>
    <w:basedOn w:val="DefaultParagraphFont"/>
    <w:rsid w:val="007466E5"/>
  </w:style>
  <w:style w:type="character" w:customStyle="1" w:styleId="headingendmark">
    <w:name w:val="headingendmark"/>
    <w:basedOn w:val="DefaultParagraphFont"/>
    <w:rsid w:val="007466E5"/>
  </w:style>
  <w:style w:type="paragraph" w:styleId="BalloonText">
    <w:name w:val="Balloon Text"/>
    <w:basedOn w:val="Normal"/>
    <w:link w:val="BalloonTextChar"/>
    <w:uiPriority w:val="99"/>
    <w:semiHidden/>
    <w:unhideWhenUsed/>
    <w:rsid w:val="007F30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1145</Words>
  <Characters>6527</Characters>
  <Application>Microsoft Macintosh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16</cp:revision>
  <dcterms:created xsi:type="dcterms:W3CDTF">2016-02-05T16:10:00Z</dcterms:created>
  <dcterms:modified xsi:type="dcterms:W3CDTF">2017-05-03T18:34:00Z</dcterms:modified>
</cp:coreProperties>
</file>