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56171" w14:textId="77777777" w:rsidR="00BD7788" w:rsidRDefault="00000000">
      <w:pPr>
        <w:pStyle w:val="Title"/>
      </w:pPr>
      <w:r>
        <w:t>Perspectives on the Science: Neoadjuvant Cemiplimab for Stage II to IV Cutaneous Squamous-Cell Carcinoma</w:t>
      </w:r>
    </w:p>
    <w:p w14:paraId="763817DF" w14:textId="69140B52" w:rsidR="00BD7788" w:rsidRDefault="00000000">
      <w:pPr>
        <w:pStyle w:val="Author"/>
      </w:pPr>
      <w:r>
        <w:t>David Miller,</w:t>
      </w:r>
      <w:r w:rsidR="001F4230">
        <w:t xml:space="preserve"> </w:t>
      </w:r>
      <w:r>
        <w:t xml:space="preserve">Justine Cohen, </w:t>
      </w:r>
      <w:r w:rsidR="001F4230">
        <w:t xml:space="preserve">Vishal Patel, </w:t>
      </w:r>
      <w:r>
        <w:t xml:space="preserve">Khalid </w:t>
      </w:r>
      <w:proofErr w:type="spellStart"/>
      <w:r>
        <w:t>Garmen</w:t>
      </w:r>
      <w:proofErr w:type="spellEnd"/>
      <w:r>
        <w:t>, Sophia Shalhout</w:t>
      </w:r>
    </w:p>
    <w:p w14:paraId="60F8AE89" w14:textId="77777777" w:rsidR="00BD7788" w:rsidRDefault="00000000">
      <w:pPr>
        <w:pStyle w:val="Date"/>
      </w:pPr>
      <w:r>
        <w:t>2022-11-09</w:t>
      </w:r>
    </w:p>
    <w:p w14:paraId="3F4CA698" w14:textId="77777777" w:rsidR="00BD7788" w:rsidRDefault="00000000">
      <w:pPr>
        <w:pStyle w:val="FirstParagraph"/>
      </w:pPr>
      <w:r>
        <w:rPr>
          <w:noProof/>
        </w:rPr>
        <w:drawing>
          <wp:inline distT="0" distB="0" distL="0" distR="0" wp14:anchorId="18A447F6" wp14:editId="7169655B">
            <wp:extent cx="5334000" cy="355641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files/featured.jpg"/>
                    <pic:cNvPicPr>
                      <a:picLocks noChangeAspect="1" noChangeArrowheads="1"/>
                    </pic:cNvPicPr>
                  </pic:nvPicPr>
                  <pic:blipFill>
                    <a:blip r:embed="rId7"/>
                    <a:stretch>
                      <a:fillRect/>
                    </a:stretch>
                  </pic:blipFill>
                  <pic:spPr bwMode="auto">
                    <a:xfrm>
                      <a:off x="0" y="0"/>
                      <a:ext cx="5334000" cy="3556413"/>
                    </a:xfrm>
                    <a:prstGeom prst="rect">
                      <a:avLst/>
                    </a:prstGeom>
                    <a:noFill/>
                    <a:ln w="9525">
                      <a:noFill/>
                      <a:headEnd/>
                      <a:tailEnd/>
                    </a:ln>
                  </pic:spPr>
                </pic:pic>
              </a:graphicData>
            </a:graphic>
          </wp:inline>
        </w:drawing>
      </w:r>
    </w:p>
    <w:p w14:paraId="7A9FF37A" w14:textId="77777777" w:rsidR="00BD7788" w:rsidRDefault="00000000">
      <w:pPr>
        <w:pStyle w:val="Heading1"/>
      </w:pPr>
      <w:bookmarkStart w:id="0" w:name="featured-article"/>
      <w:r>
        <w:t>Featured Article</w:t>
      </w:r>
    </w:p>
    <w:p w14:paraId="654C7C7D" w14:textId="77777777" w:rsidR="00BD7788" w:rsidRDefault="00417F7B">
      <w:r>
        <w:rPr>
          <w:noProof/>
        </w:rPr>
        <w:pict w14:anchorId="73624EB7">
          <v:rect id="_x0000_i1026" alt="" style="width:468pt;height:.05pt;mso-width-percent:0;mso-height-percent:0;mso-width-percent:0;mso-height-percent:0" o:hralign="center" o:hrstd="t" o:hr="t"/>
        </w:pict>
      </w:r>
    </w:p>
    <w:p w14:paraId="4250BA47" w14:textId="77777777" w:rsidR="00BD7788" w:rsidRDefault="00000000">
      <w:pPr>
        <w:pStyle w:val="FirstParagraph"/>
      </w:pPr>
      <w:r>
        <w:rPr>
          <w:b/>
          <w:bCs/>
        </w:rPr>
        <w:t>Neoadjuvant Cemiplimab for Stage II to IV Cutaneous Squamous-Cell Carcinoma</w:t>
      </w:r>
      <w:r>
        <w:t>. Gross et al. NEJM. 2022 Oct 27;387(17):1557-1568. PMID: 36094839</w:t>
      </w:r>
    </w:p>
    <w:p w14:paraId="2E06FABA" w14:textId="77777777" w:rsidR="00BD7788" w:rsidRDefault="00417F7B">
      <w:r>
        <w:rPr>
          <w:noProof/>
        </w:rPr>
        <w:pict w14:anchorId="52E37084">
          <v:rect id="_x0000_i1025" alt="" style="width:468pt;height:.05pt;mso-width-percent:0;mso-height-percent:0;mso-width-percent:0;mso-height-percent:0" o:hralign="center" o:hrstd="t" o:hr="t"/>
        </w:pict>
      </w:r>
    </w:p>
    <w:p w14:paraId="5CCD8F9B" w14:textId="77777777" w:rsidR="00BD7788" w:rsidRDefault="00000000">
      <w:pPr>
        <w:pStyle w:val="Heading1"/>
      </w:pPr>
      <w:bookmarkStart w:id="1" w:name="perspectives-on-the-science"/>
      <w:bookmarkEnd w:id="0"/>
      <w:r>
        <w:t>Perspectives on the Science</w:t>
      </w:r>
    </w:p>
    <w:p w14:paraId="550B0593" w14:textId="77777777" w:rsidR="00BD7788" w:rsidRDefault="00000000">
      <w:pPr>
        <w:pStyle w:val="FirstParagraph"/>
      </w:pPr>
      <w:r>
        <w:rPr>
          <w:b/>
          <w:bCs/>
        </w:rPr>
        <w:t>Introduction</w:t>
      </w:r>
    </w:p>
    <w:p w14:paraId="22E1B132" w14:textId="77777777" w:rsidR="00BD7788" w:rsidRDefault="00000000">
      <w:pPr>
        <w:pStyle w:val="BodyText"/>
      </w:pPr>
      <w:r>
        <w:t>On October 7</w:t>
      </w:r>
      <w:r>
        <w:rPr>
          <w:vertAlign w:val="superscript"/>
        </w:rPr>
        <w:t>th</w:t>
      </w:r>
      <w:r>
        <w:t xml:space="preserve">, 2022, the multi-institutional </w:t>
      </w:r>
      <w:r>
        <w:rPr>
          <w:b/>
          <w:bCs/>
        </w:rPr>
        <w:t>Skin Cancer Interest Group Journal Club</w:t>
      </w:r>
      <w:r>
        <w:t xml:space="preserve"> reviewed the recently published New England Journal of Medicine article “</w:t>
      </w:r>
      <w:hyperlink r:id="rId8">
        <w:r>
          <w:rPr>
            <w:rStyle w:val="Hyperlink"/>
          </w:rPr>
          <w:t>Neoadjuvant Cemiplimab for Stage II to IV Cutaneous Squamous-Cell Carcinoma</w:t>
        </w:r>
      </w:hyperlink>
      <w:r>
        <w:t>”.</w:t>
      </w:r>
      <w:hyperlink w:anchor="ref-Gross2022">
        <w:r>
          <w:rPr>
            <w:rStyle w:val="Hyperlink"/>
            <w:vertAlign w:val="superscript"/>
          </w:rPr>
          <w:t>1</w:t>
        </w:r>
      </w:hyperlink>
      <w:r>
        <w:t xml:space="preserve"> Participants included </w:t>
      </w:r>
      <w:r>
        <w:lastRenderedPageBreak/>
        <w:t xml:space="preserve">clinicians and investigators from Massachusetts General Hospital, Mass Eye and Ear Infirmary, Brigham and Women’s Hospital (BWH), George Washington Cancer Center, the National Institute of Health, University of Pennsylvania and Moffitt Cancer Center. Importantly, the comments in this article represent the views of the authors of this </w:t>
      </w:r>
      <w:r>
        <w:rPr>
          <w:rStyle w:val="VerbatimChar"/>
        </w:rPr>
        <w:t>Perspectives on the Science</w:t>
      </w:r>
      <w:r>
        <w:t xml:space="preserve"> piece. It does not represent views of any other members of the Interest Group or the affiliated institutions. In this article we provide a summary of the discussion regarding this important contribution to the literature. Of note, several participants of the Journal Club were investigators of this study and authors on the NEJM article.</w:t>
      </w:r>
    </w:p>
    <w:p w14:paraId="47578801" w14:textId="77777777" w:rsidR="00BD7788" w:rsidRDefault="00000000">
      <w:pPr>
        <w:pStyle w:val="BodyText"/>
      </w:pPr>
      <w:r>
        <w:rPr>
          <w:b/>
          <w:bCs/>
        </w:rPr>
        <w:t>Background for the Study</w:t>
      </w:r>
    </w:p>
    <w:p w14:paraId="04097B17" w14:textId="77777777" w:rsidR="00BD7788" w:rsidRDefault="00000000">
      <w:pPr>
        <w:pStyle w:val="BodyText"/>
      </w:pPr>
      <w:r>
        <w:t>Although the vast majority of cutaneous squamous cell carcinomas (CSCC) are treated and cured with local therapies, including excision and electrodesiccation and curettage, a portion go on to have poor outcomes, including regional, nodal and distant metastases. Approximately 6% of patients with CSCC will go on to develop nodal or distant disease, resulting in mortality in 1.5-2% of patients</w:t>
      </w:r>
      <w:hyperlink w:anchor="ref-patel2021">
        <w:r>
          <w:rPr>
            <w:rStyle w:val="Hyperlink"/>
            <w:vertAlign w:val="superscript"/>
          </w:rPr>
          <w:t>2</w:t>
        </w:r>
      </w:hyperlink>
      <w:r>
        <w:rPr>
          <w:vertAlign w:val="superscript"/>
        </w:rPr>
        <w:t>,</w:t>
      </w:r>
      <w:hyperlink w:anchor="ref-Thompson2016">
        <w:r>
          <w:rPr>
            <w:rStyle w:val="Hyperlink"/>
            <w:vertAlign w:val="superscript"/>
          </w:rPr>
          <w:t>3</w:t>
        </w:r>
      </w:hyperlink>
      <w:r>
        <w:t>. Consequently, there is an unmet need to find alternative treatment strategies to improve outcomes in patients with high-risk CSCC.</w:t>
      </w:r>
    </w:p>
    <w:p w14:paraId="7AC3C3F8" w14:textId="77777777" w:rsidR="00BD7788" w:rsidRDefault="00000000">
      <w:pPr>
        <w:pStyle w:val="BodyText"/>
      </w:pPr>
      <w:r>
        <w:t>Recently, clinical trial data has lead to the approval of immune checkpoint inhibitors for locally advanced and metastatic CSCC</w:t>
      </w:r>
      <w:hyperlink w:anchor="ref-Migden2018">
        <w:r>
          <w:rPr>
            <w:rStyle w:val="Hyperlink"/>
            <w:vertAlign w:val="superscript"/>
          </w:rPr>
          <w:t>4</w:t>
        </w:r>
      </w:hyperlink>
      <w:r>
        <w:rPr>
          <w:vertAlign w:val="superscript"/>
        </w:rPr>
        <w:t>,</w:t>
      </w:r>
      <w:hyperlink w:anchor="ref-Grob2020">
        <w:r>
          <w:rPr>
            <w:rStyle w:val="Hyperlink"/>
            <w:vertAlign w:val="superscript"/>
          </w:rPr>
          <w:t>5</w:t>
        </w:r>
      </w:hyperlink>
      <w:r>
        <w:t>. Objective response rates for advanced disease ranging from 46-51% and 35-50% in EMPOWER-CSCC-1 and KEYNOTE-629, respectively, led to the hypotheses tested by Gross et al. that pre-operative anti-PD-1 would led to improved pathological response rates at the time of surgical excision.</w:t>
      </w:r>
    </w:p>
    <w:p w14:paraId="4341FE26" w14:textId="77777777" w:rsidR="00BD7788" w:rsidRDefault="00000000">
      <w:pPr>
        <w:pStyle w:val="BodyText"/>
      </w:pPr>
      <w:r>
        <w:rPr>
          <w:b/>
          <w:bCs/>
        </w:rPr>
        <w:t>Study Design</w:t>
      </w:r>
    </w:p>
    <w:p w14:paraId="55BFD7C9" w14:textId="77777777" w:rsidR="00BD7788" w:rsidRDefault="00000000">
      <w:pPr>
        <w:pStyle w:val="BodyText"/>
      </w:pPr>
      <w:r>
        <w:t>The investigators conducted a company-sponsored, phase 2, multi-center, non-randomized study involving 79 patients with high-risk disease. Patients were eligible if they had resectable Stage II or greater disease. Of note, not all Stage II patients were eligibile, but rather those with primary lesions &gt;3 cm. Subjects received up to four doses of cemiplimab 350 mg every three weeks, followed by surgical resection. The primary endpoint of the study was a pathological complete response (pCR) rate. The null hypotheses was a pCR rate of 25%. Following surgery, investigators were allowed to decide on a post-operative course that included observation, adjuvant radiotherapy or continued cemiplimab.</w:t>
      </w:r>
    </w:p>
    <w:p w14:paraId="3BC62E02" w14:textId="77777777" w:rsidR="00BD7788" w:rsidRDefault="00000000">
      <w:pPr>
        <w:pStyle w:val="BodyText"/>
      </w:pPr>
      <w:r>
        <w:rPr>
          <w:b/>
          <w:bCs/>
        </w:rPr>
        <w:t>Main Findings</w:t>
      </w:r>
    </w:p>
    <w:p w14:paraId="3CDFE376" w14:textId="77777777" w:rsidR="00BD7788" w:rsidRDefault="00000000">
      <w:pPr>
        <w:pStyle w:val="BodyText"/>
      </w:pPr>
      <w:r>
        <w:t>Pathological complete responses were seen in 40 patients (51%), with another 10 patients exhibiting a major pathological response (defined as &lt;10% viable tumor cells seen on the specimen). Adverse events (AEs) were seen in 87% of patients, with grade three or greater AEs occurring in 18% of patients. Four patients died during the study.</w:t>
      </w:r>
    </w:p>
    <w:p w14:paraId="7425EC72" w14:textId="77777777" w:rsidR="00BD7788" w:rsidRDefault="00000000">
      <w:pPr>
        <w:pStyle w:val="BodyText"/>
      </w:pPr>
      <w:r>
        <w:rPr>
          <w:b/>
          <w:bCs/>
        </w:rPr>
        <w:t>Discussion Points</w:t>
      </w:r>
    </w:p>
    <w:p w14:paraId="6DECD5A9" w14:textId="77777777" w:rsidR="00BD7788" w:rsidRDefault="00000000">
      <w:pPr>
        <w:pStyle w:val="BodyText"/>
      </w:pPr>
      <w:r>
        <w:t xml:space="preserve">The consensus amongst the group was that this study is indeed “practice-changing”. A few participants were already incorporating pre-operative immunecheckpoint inhibitor (ICI) therapy for some of their highest-risk patients prior the publication of these results. However, other participants that were primarily using ICI therapy per the FDA indications </w:t>
      </w:r>
      <w:r>
        <w:lastRenderedPageBreak/>
        <w:t>(e.g. locally advanced or metastatic disease) stated that they would consider implementing ICI earlier in the disease journey as a result of this study. Participants, however, stressed the importance of assessing the benefit-to-risk ratio. The absolute risk of poor outcomes for various stages of disease studied in this population varies and, in many cases, remain incompletely clarified. Impart this is due to CSCC not being part of the Surveillance, Epidemiology, and End Results Program. Therefore prognostic estimates of local recurrence, nodal and distant metastases, as well as disease-specific death, have come largely from single-institution datasets and are limited. For example, a 2019 study by Ruiz et al. evaluated the prognosis of 459 patients at BWH</w:t>
      </w:r>
      <w:hyperlink w:anchor="ref-ruiz2019">
        <w:r>
          <w:rPr>
            <w:rStyle w:val="Hyperlink"/>
            <w:vertAlign w:val="superscript"/>
          </w:rPr>
          <w:t>6</w:t>
        </w:r>
      </w:hyperlink>
      <w:r>
        <w:t>. The 10-year cumulative incidence (CIN) rate of local recurrence (LR), nodal metastases (NM) and disease-specific death (DSD) for AJCC Stage II diesease was 15.8, 12.2 and 7.6%, respectively in the 36 tumors evaluated. For the 119 T3 tumors (e.g. AJCC Stage III), the 10-year CIN rates for LR, NM and DSD were 19.7, 14.1 and 9.3%, respectively.</w:t>
      </w:r>
    </w:p>
    <w:p w14:paraId="31CDA52A" w14:textId="77777777" w:rsidR="00BD7788" w:rsidRDefault="00000000">
      <w:pPr>
        <w:pStyle w:val="BodyText"/>
      </w:pPr>
      <w:r>
        <w:t>Thus the benefits of pre-operative ICI must be weighed in the setting of toxicity. The current study had 4 fatalities, an unusually high proportion, given 79 total subjects. Typical estimated rates of ICI-related mortality are 1:200. Although only one subject’s death was considered possibly related to treatment, all four died of cardiac-related events. These subjects were advanced in age (73, 82, 85 and 93 years old) and had underlying heart disease; thus, making attributions of treatment relatedness challenging. However, we must continue to be vigilant of possible treatment-related effects of ICI therapy given the advanced age of the CSCC population and emerging data that anti-PD-1 therapies may be associated with increases in cardiovascular events and atherosclerotic plaque</w:t>
      </w:r>
      <w:hyperlink w:anchor="ref-Drobni2020">
        <w:r>
          <w:rPr>
            <w:rStyle w:val="Hyperlink"/>
            <w:vertAlign w:val="superscript"/>
          </w:rPr>
          <w:t>7</w:t>
        </w:r>
      </w:hyperlink>
      <w:r>
        <w:t>.</w:t>
      </w:r>
    </w:p>
    <w:p w14:paraId="3945FDF8" w14:textId="77777777" w:rsidR="00BD7788" w:rsidRDefault="00000000">
      <w:pPr>
        <w:pStyle w:val="BodyText"/>
      </w:pPr>
      <w:r>
        <w:t>In the wake of this impactful study, several questions remain. These include the optimal number of doses of pre-operative ICI. Comparable path CR rates were observed in a pilot study two pre-operative doses of cemiplimab in Stage II-IV CSCC</w:t>
      </w:r>
      <w:hyperlink w:anchor="ref-Ferrarotto2021">
        <w:r>
          <w:rPr>
            <w:rStyle w:val="Hyperlink"/>
            <w:vertAlign w:val="superscript"/>
          </w:rPr>
          <w:t>8</w:t>
        </w:r>
      </w:hyperlink>
      <w:r>
        <w:t>. Twenty-two percent of the subjects in the study did not received all four doses and 11% did not undergo surgery in the protocol-specified window. Thus, identifying the optimal number of pre-opreative doses of ICI therapy remains critical. In addition, understanding the clinical benefit of pre-operative ICI in some of the most at-risk patients is necessary, including those with incompetent immune systems. Furthermore, integrating pre-operative ICI treatment into a treatment landscape that may include post-operative systemic therapy, adjuvant radiation therapy or salvage treatment upon disease recurrence remain important unmet needs.</w:t>
      </w:r>
    </w:p>
    <w:p w14:paraId="4D2CF865" w14:textId="77777777" w:rsidR="00BD7788" w:rsidRDefault="00000000">
      <w:pPr>
        <w:pStyle w:val="BodyText"/>
      </w:pPr>
      <w:r>
        <w:t xml:space="preserve">This site represents our opinions only. See our full </w:t>
      </w:r>
      <w:hyperlink r:id="rId9">
        <w:r>
          <w:rPr>
            <w:rStyle w:val="Hyperlink"/>
          </w:rPr>
          <w:t>Disclaimer</w:t>
        </w:r>
      </w:hyperlink>
      <w:r>
        <w:t xml:space="preserve"> and </w:t>
      </w:r>
      <w:hyperlink r:id="rId10">
        <w:r>
          <w:rPr>
            <w:rStyle w:val="Hyperlink"/>
          </w:rPr>
          <w:t>Terms of Use Agreement</w:t>
        </w:r>
      </w:hyperlink>
    </w:p>
    <w:p w14:paraId="51422AB5" w14:textId="77777777" w:rsidR="00BD7788" w:rsidRDefault="00000000">
      <w:pPr>
        <w:pStyle w:val="Heading1"/>
      </w:pPr>
      <w:bookmarkStart w:id="2" w:name="references"/>
      <w:bookmarkEnd w:id="1"/>
      <w:r>
        <w:t>References</w:t>
      </w:r>
    </w:p>
    <w:p w14:paraId="726D50CB" w14:textId="77777777" w:rsidR="00BD7788" w:rsidRDefault="00000000">
      <w:pPr>
        <w:pStyle w:val="Bibliography"/>
      </w:pPr>
      <w:bookmarkStart w:id="3" w:name="ref-Gross2022"/>
      <w:bookmarkStart w:id="4" w:name="refs"/>
      <w:r>
        <w:t xml:space="preserve">1. </w:t>
      </w:r>
      <w:r>
        <w:tab/>
        <w:t xml:space="preserve">Gross, N. D. </w:t>
      </w:r>
      <w:r>
        <w:rPr>
          <w:i/>
          <w:iCs/>
        </w:rPr>
        <w:t>et al.</w:t>
      </w:r>
      <w:r>
        <w:t xml:space="preserve"> </w:t>
      </w:r>
      <w:hyperlink r:id="rId11">
        <w:r>
          <w:rPr>
            <w:rStyle w:val="Hyperlink"/>
          </w:rPr>
          <w:t>Neoadjuvant Cemiplimab for Stage II to IV Cutaneous Squamous-Cell Carcinoma</w:t>
        </w:r>
      </w:hyperlink>
      <w:r>
        <w:t xml:space="preserve">. </w:t>
      </w:r>
      <w:r>
        <w:rPr>
          <w:i/>
          <w:iCs/>
        </w:rPr>
        <w:t>New England Journal of Medicine</w:t>
      </w:r>
      <w:r>
        <w:t xml:space="preserve"> </w:t>
      </w:r>
      <w:r>
        <w:rPr>
          <w:b/>
          <w:bCs/>
        </w:rPr>
        <w:t>387</w:t>
      </w:r>
      <w:r>
        <w:t>, 1557–1568 (2022).</w:t>
      </w:r>
    </w:p>
    <w:p w14:paraId="66C1834A" w14:textId="77777777" w:rsidR="00BD7788" w:rsidRDefault="00000000">
      <w:pPr>
        <w:pStyle w:val="Bibliography"/>
      </w:pPr>
      <w:bookmarkStart w:id="5" w:name="ref-patel2021"/>
      <w:bookmarkEnd w:id="3"/>
      <w:r>
        <w:t xml:space="preserve">2. </w:t>
      </w:r>
      <w:r>
        <w:tab/>
        <w:t xml:space="preserve">Patel, V. A. </w:t>
      </w:r>
      <w:r>
        <w:rPr>
          <w:i/>
          <w:iCs/>
        </w:rPr>
        <w:t>et al.</w:t>
      </w:r>
      <w:r>
        <w:t xml:space="preserve"> </w:t>
      </w:r>
      <w:hyperlink r:id="rId12">
        <w:r>
          <w:rPr>
            <w:rStyle w:val="Hyperlink"/>
          </w:rPr>
          <w:t>Cutaneous squamous cell carcinoma staging may influence management in users: A survey study</w:t>
        </w:r>
      </w:hyperlink>
      <w:r>
        <w:t xml:space="preserve">. </w:t>
      </w:r>
      <w:r>
        <w:rPr>
          <w:i/>
          <w:iCs/>
        </w:rPr>
        <w:t>Cancer Medicine</w:t>
      </w:r>
      <w:r>
        <w:t xml:space="preserve"> </w:t>
      </w:r>
      <w:r>
        <w:rPr>
          <w:b/>
          <w:bCs/>
        </w:rPr>
        <w:t>11</w:t>
      </w:r>
      <w:r>
        <w:t>, 94–103 (2021).</w:t>
      </w:r>
    </w:p>
    <w:p w14:paraId="28D69E5A" w14:textId="77777777" w:rsidR="00BD7788" w:rsidRDefault="00000000">
      <w:pPr>
        <w:pStyle w:val="Bibliography"/>
      </w:pPr>
      <w:bookmarkStart w:id="6" w:name="ref-Thompson2016"/>
      <w:bookmarkEnd w:id="5"/>
      <w:r>
        <w:lastRenderedPageBreak/>
        <w:t xml:space="preserve">3. </w:t>
      </w:r>
      <w:r>
        <w:tab/>
        <w:t xml:space="preserve">Thompson, A. K., Kelley, B. F., Prokop, L. J., Murad, M. H. &amp; Baum, C. L. </w:t>
      </w:r>
      <w:hyperlink r:id="rId13">
        <w:r>
          <w:rPr>
            <w:rStyle w:val="Hyperlink"/>
          </w:rPr>
          <w:t>Risk Factors for Cutaneous Squamous Cell Carcinoma Recurrence, Metastasis, and Disease-Specific Death</w:t>
        </w:r>
      </w:hyperlink>
      <w:r>
        <w:t xml:space="preserve">. </w:t>
      </w:r>
      <w:r>
        <w:rPr>
          <w:i/>
          <w:iCs/>
        </w:rPr>
        <w:t>JAMA Dermatology</w:t>
      </w:r>
      <w:r>
        <w:t xml:space="preserve"> </w:t>
      </w:r>
      <w:r>
        <w:rPr>
          <w:b/>
          <w:bCs/>
        </w:rPr>
        <w:t>152</w:t>
      </w:r>
      <w:r>
        <w:t>, 419 (2016).</w:t>
      </w:r>
    </w:p>
    <w:p w14:paraId="4C85AED2" w14:textId="77777777" w:rsidR="00BD7788" w:rsidRDefault="00000000">
      <w:pPr>
        <w:pStyle w:val="Bibliography"/>
      </w:pPr>
      <w:bookmarkStart w:id="7" w:name="ref-Migden2018"/>
      <w:bookmarkEnd w:id="6"/>
      <w:r>
        <w:t xml:space="preserve">4. </w:t>
      </w:r>
      <w:r>
        <w:tab/>
        <w:t xml:space="preserve">Migden, M. R. </w:t>
      </w:r>
      <w:r>
        <w:rPr>
          <w:i/>
          <w:iCs/>
        </w:rPr>
        <w:t>et al.</w:t>
      </w:r>
      <w:r>
        <w:t xml:space="preserve"> </w:t>
      </w:r>
      <w:hyperlink r:id="rId14">
        <w:r>
          <w:rPr>
            <w:rStyle w:val="Hyperlink"/>
          </w:rPr>
          <w:t>PD-1 Blockade with Cemiplimab in Advanced Cutaneous Squamous-Cell Carcinoma</w:t>
        </w:r>
      </w:hyperlink>
      <w:r>
        <w:t xml:space="preserve">. </w:t>
      </w:r>
      <w:r>
        <w:rPr>
          <w:i/>
          <w:iCs/>
        </w:rPr>
        <w:t>New England Journal of Medicine</w:t>
      </w:r>
      <w:r>
        <w:t xml:space="preserve"> </w:t>
      </w:r>
      <w:r>
        <w:rPr>
          <w:b/>
          <w:bCs/>
        </w:rPr>
        <w:t>379</w:t>
      </w:r>
      <w:r>
        <w:t>, 341–351 (2018).</w:t>
      </w:r>
    </w:p>
    <w:p w14:paraId="3F909D1C" w14:textId="77777777" w:rsidR="00BD7788" w:rsidRDefault="00000000">
      <w:pPr>
        <w:pStyle w:val="Bibliography"/>
      </w:pPr>
      <w:bookmarkStart w:id="8" w:name="ref-Grob2020"/>
      <w:bookmarkEnd w:id="7"/>
      <w:r>
        <w:t xml:space="preserve">5. </w:t>
      </w:r>
      <w:r>
        <w:tab/>
        <w:t xml:space="preserve">Grob, J.-J. </w:t>
      </w:r>
      <w:r>
        <w:rPr>
          <w:i/>
          <w:iCs/>
        </w:rPr>
        <w:t>et al.</w:t>
      </w:r>
      <w:r>
        <w:t xml:space="preserve"> </w:t>
      </w:r>
      <w:hyperlink r:id="rId15">
        <w:r>
          <w:rPr>
            <w:rStyle w:val="Hyperlink"/>
          </w:rPr>
          <w:t>Pembrolizumab Monotherapy for Recurrent or Metastatic Cutaneous Squamous Cell Carcinoma: A Single-Arm Phase II Trial (KEYNOTE-629)</w:t>
        </w:r>
      </w:hyperlink>
      <w:r>
        <w:t xml:space="preserve">. </w:t>
      </w:r>
      <w:r>
        <w:rPr>
          <w:i/>
          <w:iCs/>
        </w:rPr>
        <w:t>Journal of Clinical Oncology</w:t>
      </w:r>
      <w:r>
        <w:t xml:space="preserve"> </w:t>
      </w:r>
      <w:r>
        <w:rPr>
          <w:b/>
          <w:bCs/>
        </w:rPr>
        <w:t>38</w:t>
      </w:r>
      <w:r>
        <w:t>, 2916–2925 (2020).</w:t>
      </w:r>
    </w:p>
    <w:p w14:paraId="29E80773" w14:textId="77777777" w:rsidR="00BD7788" w:rsidRDefault="00000000">
      <w:pPr>
        <w:pStyle w:val="Bibliography"/>
      </w:pPr>
      <w:bookmarkStart w:id="9" w:name="ref-ruiz2019"/>
      <w:bookmarkEnd w:id="8"/>
      <w:r>
        <w:t xml:space="preserve">6. </w:t>
      </w:r>
      <w:r>
        <w:tab/>
        <w:t xml:space="preserve">Ruiz, E. S., Karia, P. S., Besaw, R. &amp; Schmults, C. D. </w:t>
      </w:r>
      <w:hyperlink r:id="rId16">
        <w:r>
          <w:rPr>
            <w:rStyle w:val="Hyperlink"/>
          </w:rPr>
          <w:t>Performance of the American Joint Committee on Cancer Staging Manual, 8th Edition vs the Brigham and Women’s Hospital Tumor Classification System for Cutaneous Squamous Cell Carcinoma</w:t>
        </w:r>
      </w:hyperlink>
      <w:r>
        <w:t xml:space="preserve">. </w:t>
      </w:r>
      <w:r>
        <w:rPr>
          <w:i/>
          <w:iCs/>
        </w:rPr>
        <w:t>JAMA Dermatology</w:t>
      </w:r>
      <w:r>
        <w:t xml:space="preserve"> </w:t>
      </w:r>
      <w:r>
        <w:rPr>
          <w:b/>
          <w:bCs/>
        </w:rPr>
        <w:t>155</w:t>
      </w:r>
      <w:r>
        <w:t>, 819 (2019).</w:t>
      </w:r>
    </w:p>
    <w:p w14:paraId="45729D2B" w14:textId="77777777" w:rsidR="00BD7788" w:rsidRDefault="00000000">
      <w:pPr>
        <w:pStyle w:val="Bibliography"/>
      </w:pPr>
      <w:bookmarkStart w:id="10" w:name="ref-Drobni2020"/>
      <w:bookmarkEnd w:id="9"/>
      <w:r>
        <w:t xml:space="preserve">7. </w:t>
      </w:r>
      <w:r>
        <w:tab/>
        <w:t xml:space="preserve">Drobni, Z. D. </w:t>
      </w:r>
      <w:r>
        <w:rPr>
          <w:i/>
          <w:iCs/>
        </w:rPr>
        <w:t>et al.</w:t>
      </w:r>
      <w:r>
        <w:t xml:space="preserve"> </w:t>
      </w:r>
      <w:hyperlink r:id="rId17">
        <w:r>
          <w:rPr>
            <w:rStyle w:val="Hyperlink"/>
          </w:rPr>
          <w:t>Association Between Immune Checkpoint Inhibitors With Cardiovascular Events and Atherosclerotic Plaque</w:t>
        </w:r>
      </w:hyperlink>
      <w:r>
        <w:t xml:space="preserve">. </w:t>
      </w:r>
      <w:r>
        <w:rPr>
          <w:i/>
          <w:iCs/>
        </w:rPr>
        <w:t>Circulation</w:t>
      </w:r>
      <w:r>
        <w:t xml:space="preserve"> </w:t>
      </w:r>
      <w:r>
        <w:rPr>
          <w:b/>
          <w:bCs/>
        </w:rPr>
        <w:t>142</w:t>
      </w:r>
      <w:r>
        <w:t>, 2299–2311 (2020).</w:t>
      </w:r>
    </w:p>
    <w:p w14:paraId="59046505" w14:textId="77777777" w:rsidR="00BD7788" w:rsidRDefault="00000000">
      <w:pPr>
        <w:pStyle w:val="Bibliography"/>
      </w:pPr>
      <w:bookmarkStart w:id="11" w:name="ref-Ferrarotto2021"/>
      <w:bookmarkEnd w:id="10"/>
      <w:r>
        <w:t xml:space="preserve">8. </w:t>
      </w:r>
      <w:r>
        <w:tab/>
        <w:t xml:space="preserve">Ferrarotto, R. </w:t>
      </w:r>
      <w:r>
        <w:rPr>
          <w:i/>
          <w:iCs/>
        </w:rPr>
        <w:t>et al.</w:t>
      </w:r>
      <w:r>
        <w:t xml:space="preserve"> </w:t>
      </w:r>
      <w:hyperlink r:id="rId18">
        <w:r>
          <w:rPr>
            <w:rStyle w:val="Hyperlink"/>
          </w:rPr>
          <w:t>Pilot Phase II Trial of Neoadjuvant Immunotherapy in Locoregionally Advanced, Resectable Cutaneous Squamous Cell Carcinoma of the Head and Neck</w:t>
        </w:r>
      </w:hyperlink>
      <w:r>
        <w:t xml:space="preserve">. </w:t>
      </w:r>
      <w:r>
        <w:rPr>
          <w:i/>
          <w:iCs/>
        </w:rPr>
        <w:t>Clinical Cancer Research</w:t>
      </w:r>
      <w:r>
        <w:t xml:space="preserve"> </w:t>
      </w:r>
      <w:r>
        <w:rPr>
          <w:b/>
          <w:bCs/>
        </w:rPr>
        <w:t>27</w:t>
      </w:r>
      <w:r>
        <w:t>, 4557–4565 (2021).</w:t>
      </w:r>
      <w:bookmarkEnd w:id="2"/>
      <w:bookmarkEnd w:id="4"/>
      <w:bookmarkEnd w:id="11"/>
    </w:p>
    <w:sectPr w:rsidR="00BD77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4BF38" w14:textId="77777777" w:rsidR="00417F7B" w:rsidRDefault="00417F7B">
      <w:pPr>
        <w:spacing w:after="0"/>
      </w:pPr>
      <w:r>
        <w:separator/>
      </w:r>
    </w:p>
  </w:endnote>
  <w:endnote w:type="continuationSeparator" w:id="0">
    <w:p w14:paraId="735DE9D6" w14:textId="77777777" w:rsidR="00417F7B" w:rsidRDefault="00417F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C7C69" w14:textId="77777777" w:rsidR="00417F7B" w:rsidRDefault="00417F7B">
      <w:r>
        <w:separator/>
      </w:r>
    </w:p>
  </w:footnote>
  <w:footnote w:type="continuationSeparator" w:id="0">
    <w:p w14:paraId="6C52990E" w14:textId="77777777" w:rsidR="00417F7B" w:rsidRDefault="00417F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918B73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08878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7788"/>
    <w:rsid w:val="001F4230"/>
    <w:rsid w:val="00417F7B"/>
    <w:rsid w:val="00BD778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1042C"/>
  <w15:docId w15:val="{1853FFCE-20D7-D045-A720-40D1A268A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jm.org/doi/full/10.1056/NEJMoa2209813" TargetMode="External"/><Relationship Id="rId13" Type="http://schemas.openxmlformats.org/officeDocument/2006/relationships/hyperlink" Target="https://doi.org/10.1001/jamadermatol.2015.4994" TargetMode="External"/><Relationship Id="rId18" Type="http://schemas.openxmlformats.org/officeDocument/2006/relationships/hyperlink" Target="https://doi.org/10.1158/1078-0432.ccr-21-0585"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oi.org/10.1002/cam4.4426" TargetMode="External"/><Relationship Id="rId17" Type="http://schemas.openxmlformats.org/officeDocument/2006/relationships/hyperlink" Target="https://doi.org/10.1161/circulationaha.120.049981" TargetMode="External"/><Relationship Id="rId2" Type="http://schemas.openxmlformats.org/officeDocument/2006/relationships/styles" Target="styles.xml"/><Relationship Id="rId16" Type="http://schemas.openxmlformats.org/officeDocument/2006/relationships/hyperlink" Target="https://doi.org/10.1001/jamadermatol.2019.0032"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56/nejmoa2209813" TargetMode="External"/><Relationship Id="rId5" Type="http://schemas.openxmlformats.org/officeDocument/2006/relationships/footnotes" Target="footnotes.xml"/><Relationship Id="rId15" Type="http://schemas.openxmlformats.org/officeDocument/2006/relationships/hyperlink" Target="https://doi.org/10.1200/jco.19.03054" TargetMode="External"/><Relationship Id="rId10" Type="http://schemas.openxmlformats.org/officeDocument/2006/relationships/hyperlink" Target="https://www.themillerlab.io/term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hemillerlab.io/privacy/" TargetMode="External"/><Relationship Id="rId14" Type="http://schemas.openxmlformats.org/officeDocument/2006/relationships/hyperlink" Target="https://doi.org/10.1056/nejmoa18051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1364</Words>
  <Characters>7778</Characters>
  <Application>Microsoft Office Word</Application>
  <DocSecurity>0</DocSecurity>
  <Lines>64</Lines>
  <Paragraphs>18</Paragraphs>
  <ScaleCrop>false</ScaleCrop>
  <Company/>
  <LinksUpToDate>false</LinksUpToDate>
  <CharactersWithSpaces>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Perspectives on the Science: Neoadjuvant Cemiplimab for Stage II to IV Cutaneous Squamous-Cell Carcinoma</dc:title>
  <dc:creator>David Miller, Justine Cohen, Khalid Garmen, Sophia Shalhout</dc:creator>
  <cp:keywords/>
  <cp:lastModifiedBy>Miller, David M.,MD, PhD</cp:lastModifiedBy>
  <cp:revision>2</cp:revision>
  <dcterms:created xsi:type="dcterms:W3CDTF">2022-11-09T14:52:00Z</dcterms:created>
  <dcterms:modified xsi:type="dcterms:W3CDTF">2022-11-09T14:53:00Z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bibliography.bibtex</vt:lpwstr>
  </property>
  <property fmtid="{D5CDD505-2E9C-101B-9397-08002B2CF9AE}" pid="5" name="by-author">
    <vt:lpwstr/>
  </property>
  <property fmtid="{D5CDD505-2E9C-101B-9397-08002B2CF9AE}" pid="6" name="csl">
    <vt:lpwstr>https://raw.githubusercontent.com/citation-style-language/styles/master/nature.csl</vt:lpwstr>
  </property>
  <property fmtid="{D5CDD505-2E9C-101B-9397-08002B2CF9AE}" pid="7" name="date">
    <vt:lpwstr>2022-11-09</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yes</vt:lpwstr>
  </property>
  <property fmtid="{D5CDD505-2E9C-101B-9397-08002B2CF9AE}" pid="14" name="toc-title">
    <vt:lpwstr>Table of contents</vt:lpwstr>
  </property>
  <property fmtid="{D5CDD505-2E9C-101B-9397-08002B2CF9AE}" pid="15" name="website">
    <vt:lpwstr/>
  </property>
</Properties>
</file>