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800"/>
        <w:jc w:val="center"/>
      </w:pPr>
      <w:r>
        <w:t xml:space="preserve">Marketing-in-a-Box (Owned Media)</w:t>
      </w:r>
    </w:p>
    <w:p>
      <w:pPr>
        <w:spacing w:after="60"/>
        <w:jc w:val="center"/>
      </w:pPr>
      <w:r>
        <w:rPr>
          <w:b/>
          <w:bCs/>
          <w:sz w:val="32"/>
          <w:szCs w:val="32"/>
        </w:rPr>
        <w:t xml:space="preserve">Pipeline Execution App</w:t>
      </w:r>
    </w:p>
    <w:p>
      <w:pPr>
        <w:spacing w:after="700"/>
        <w:jc w:val="center"/>
      </w:pPr>
      <w:r>
        <w:rPr>
          <w:color w:val="555555"/>
          <w:sz w:val="26"/>
          <w:szCs w:val="26"/>
        </w:rPr>
        <w:t xml:space="preserve">Product Requirements Document (PRD)</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6960"/>
      </w:tblGrid>
      <w:tr>
        <w:trPr>
          <w:tblHeader/>
        </w:trPr>
        <w:tc>
          <w:tcPr>
            <w:tcW w:type="dxa" w:w="2400"/>
            <w:shd w:fill="2F5D62" w:val="clear"/>
          </w:tcPr>
          <w:p>
            <w:r>
              <w:rPr>
                <w:b/>
                <w:bCs/>
                <w:color w:val="FFFFFF"/>
                <w:sz w:val="19"/>
                <w:szCs w:val="19"/>
              </w:rPr>
              <w:t xml:space="preserve">Field</w:t>
            </w:r>
          </w:p>
        </w:tc>
        <w:tc>
          <w:tcPr>
            <w:tcW w:type="dxa" w:w="6960"/>
            <w:shd w:fill="2F5D62" w:val="clear"/>
          </w:tcPr>
          <w:p>
            <w:r>
              <w:rPr>
                <w:b/>
                <w:bCs/>
                <w:color w:val="FFFFFF"/>
                <w:sz w:val="19"/>
                <w:szCs w:val="19"/>
              </w:rPr>
              <w:t xml:space="preserve">Value</w:t>
            </w:r>
          </w:p>
        </w:tc>
      </w:tr>
      <w:tr>
        <w:tc>
          <w:tcPr>
            <w:tcW w:type="dxa" w:w="2400"/>
          </w:tcPr>
          <w:p>
            <w:pPr>
              <w:spacing w:after="40"/>
            </w:pPr>
            <w:r>
              <w:rPr>
                <w:sz w:val="19"/>
                <w:szCs w:val="19"/>
              </w:rPr>
              <w:t xml:space="preserve">Document owner</w:t>
            </w:r>
          </w:p>
        </w:tc>
        <w:tc>
          <w:tcPr>
            <w:tcW w:type="dxa" w:w="6960"/>
          </w:tcPr>
          <w:p>
            <w:pPr>
              <w:spacing w:after="40"/>
            </w:pPr>
            <w:r>
              <w:rPr>
                <w:sz w:val="19"/>
                <w:szCs w:val="19"/>
              </w:rPr>
              <w:t xml:space="preserve">Aditya</w:t>
            </w:r>
          </w:p>
        </w:tc>
      </w:tr>
      <w:tr>
        <w:tc>
          <w:tcPr>
            <w:tcW w:type="dxa" w:w="2400"/>
            <w:shd w:fill="F2F2F2" w:val="clear"/>
          </w:tcPr>
          <w:p>
            <w:pPr>
              <w:spacing w:after="40"/>
            </w:pPr>
            <w:r>
              <w:rPr>
                <w:sz w:val="19"/>
                <w:szCs w:val="19"/>
              </w:rPr>
              <w:t xml:space="preserve">Version</w:t>
            </w:r>
          </w:p>
        </w:tc>
        <w:tc>
          <w:tcPr>
            <w:tcW w:type="dxa" w:w="6960"/>
            <w:shd w:fill="F2F2F2" w:val="clear"/>
          </w:tcPr>
          <w:p>
            <w:pPr>
              <w:spacing w:after="40"/>
            </w:pPr>
            <w:r>
              <w:rPr>
                <w:sz w:val="19"/>
                <w:szCs w:val="19"/>
              </w:rPr>
              <w:t xml:space="preserve">1.2</w:t>
            </w:r>
          </w:p>
        </w:tc>
      </w:tr>
      <w:tr>
        <w:tc>
          <w:tcPr>
            <w:tcW w:type="dxa" w:w="2400"/>
          </w:tcPr>
          <w:p>
            <w:pPr>
              <w:spacing w:after="40"/>
            </w:pPr>
            <w:r>
              <w:rPr>
                <w:sz w:val="19"/>
                <w:szCs w:val="19"/>
              </w:rPr>
              <w:t xml:space="preserve">Date</w:t>
            </w:r>
          </w:p>
        </w:tc>
        <w:tc>
          <w:tcPr>
            <w:tcW w:type="dxa" w:w="6960"/>
          </w:tcPr>
          <w:p>
            <w:pPr>
              <w:spacing w:after="40"/>
            </w:pPr>
            <w:r>
              <w:rPr>
                <w:sz w:val="19"/>
                <w:szCs w:val="19"/>
              </w:rPr>
              <w:t xml:space="preserve">August 7, 2026</w:t>
            </w:r>
          </w:p>
        </w:tc>
      </w:tr>
      <w:tr>
        <w:tc>
          <w:tcPr>
            <w:tcW w:type="dxa" w:w="2400"/>
            <w:shd w:fill="F2F2F2" w:val="clear"/>
          </w:tcPr>
          <w:p>
            <w:pPr>
              <w:spacing w:after="40"/>
            </w:pPr>
            <w:r>
              <w:rPr>
                <w:sz w:val="19"/>
                <w:szCs w:val="19"/>
              </w:rPr>
              <w:t xml:space="preserve">Status</w:t>
            </w:r>
          </w:p>
        </w:tc>
        <w:tc>
          <w:tcPr>
            <w:tcW w:type="dxa" w:w="6960"/>
            <w:shd w:fill="F2F2F2" w:val="clear"/>
          </w:tcPr>
          <w:p>
            <w:pPr>
              <w:spacing w:after="40"/>
            </w:pPr>
            <w:r>
              <w:rPr>
                <w:sz w:val="19"/>
                <w:szCs w:val="19"/>
              </w:rPr>
              <w:t xml:space="preserve">Draft — for stakeholder review</w:t>
            </w:r>
          </w:p>
        </w:tc>
      </w:tr>
      <w:tr>
        <w:tc>
          <w:tcPr>
            <w:tcW w:type="dxa" w:w="2400"/>
          </w:tcPr>
          <w:p>
            <w:pPr>
              <w:spacing w:after="40"/>
            </w:pPr>
            <w:r>
              <w:rPr>
                <w:sz w:val="19"/>
                <w:szCs w:val="19"/>
              </w:rPr>
              <w:t xml:space="preserve">Related system</w:t>
            </w:r>
          </w:p>
        </w:tc>
        <w:tc>
          <w:tcPr>
            <w:tcW w:type="dxa" w:w="6960"/>
          </w:tcPr>
          <w:p>
            <w:pPr>
              <w:spacing w:after="40"/>
            </w:pPr>
            <w:r>
              <w:rPr>
                <w:sz w:val="19"/>
                <w:szCs w:val="19"/>
              </w:rPr>
              <w:t xml:space="preserve">5-Layer Software Engine (Client Context &amp; Ingestion, DAG Orchestrator, Multi-Agent Generation, HITL Dashboard, Production Renderer)</w:t>
            </w:r>
          </w:p>
        </w:tc>
      </w:tr>
    </w:tbl>
    <w:p>
      <w:r>
        <w:br w:type="page"/>
      </w:r>
    </w:p>
    <w:p>
      <w:pPr>
        <w:pStyle w:val="Heading1"/>
        <w:spacing w:after="140" w:before="320"/>
      </w:pPr>
      <w:r>
        <w:t xml:space="preserve">1. Overview</w:t>
      </w:r>
    </w:p>
    <w:p>
      <w:pPr>
        <w:spacing w:after="140"/>
      </w:pPr>
      <w:r>
        <w:rPr>
          <w:sz w:val="22"/>
          <w:szCs w:val="22"/>
        </w:rPr>
        <w:t xml:space="preserve">The Marketing-in-a-Box (Owned Media) Pipeline Execution App is an internal tool that automates the sequential generation of a 16-asset marketing deliverable suite (Phase 1) for any client. It uses a dependency-aware (DAG) execution engine, Claude as the content generator for each asset, and a mandatory human-in-the-loop (HITL) review gate at every stage. The application is presented through a chat-style interface, but it is purpose-built for pipeline execution and asset review rather than open-ended conversation.</w:t>
      </w:r>
    </w:p>
    <w:p>
      <w:pPr>
        <w:pStyle w:val="Heading1"/>
        <w:spacing w:after="140" w:before="320"/>
      </w:pPr>
      <w:r>
        <w:t xml:space="preserve">2. Problem Statement</w:t>
      </w:r>
    </w:p>
    <w:p>
      <w:pPr>
        <w:spacing w:after="140"/>
      </w:pPr>
      <w:r>
        <w:rPr>
          <w:sz w:val="22"/>
          <w:szCs w:val="22"/>
        </w:rPr>
        <w:t xml:space="preserve">Building the 16 standard marketing assets (ICP, CRO, pillar page, funnel, offers, lead magnet, blog, SMS sequence, SEO-focused pillar page, plan of action, content marketing, social content strategy, two webinar variants, book, and podcast) manually for every new client is slow, inconsistent, and difficult to scale. Several assets have real dependencies on one another — for example, the pillar page cannot be produced correctly without both the ICP and the CRO audit already in hand — so ad-hoc generation risks producing content that is not grounded in the right upstream facts.</w:t>
      </w:r>
    </w:p>
    <w:p>
      <w:pPr>
        <w:pStyle w:val="Heading1"/>
        <w:spacing w:after="140" w:before="320"/>
      </w:pPr>
      <w:r>
        <w:t xml:space="preserve">3. Goals</w:t>
      </w:r>
    </w:p>
    <w:p>
      <w:pPr>
        <w:pStyle w:val="ListParagraph"/>
        <w:numPr>
          <w:ilvl w:val="0"/>
          <w:numId w:val="2"/>
        </w:numPr>
        <w:spacing w:after="60"/>
      </w:pPr>
      <w:r>
        <w:rPr>
          <w:sz w:val="22"/>
          <w:szCs w:val="22"/>
        </w:rPr>
        <w:t xml:space="preserve">Automate sequential, dependency-aware generation of all 16 Phase 1 assets for any client.</w:t>
      </w:r>
    </w:p>
    <w:p>
      <w:pPr>
        <w:pStyle w:val="ListParagraph"/>
        <w:numPr>
          <w:ilvl w:val="0"/>
          <w:numId w:val="2"/>
        </w:numPr>
        <w:spacing w:after="60"/>
      </w:pPr>
      <w:r>
        <w:rPr>
          <w:sz w:val="22"/>
          <w:szCs w:val="22"/>
        </w:rPr>
        <w:t xml:space="preserve">Keep a strategist in control of quality via a mandatory approval gate on every asset.</w:t>
      </w:r>
    </w:p>
    <w:p>
      <w:pPr>
        <w:pStyle w:val="ListParagraph"/>
        <w:numPr>
          <w:ilvl w:val="0"/>
          <w:numId w:val="2"/>
        </w:numPr>
        <w:spacing w:after="60"/>
      </w:pPr>
      <w:r>
        <w:rPr>
          <w:sz w:val="22"/>
          <w:szCs w:val="22"/>
        </w:rPr>
        <w:t xml:space="preserve">Make every client run reproducible, resumable, and auditable.</w:t>
      </w:r>
    </w:p>
    <w:p>
      <w:pPr>
        <w:pStyle w:val="ListParagraph"/>
        <w:numPr>
          <w:ilvl w:val="0"/>
          <w:numId w:val="2"/>
        </w:numPr>
        <w:spacing w:after="60"/>
      </w:pPr>
      <w:r>
        <w:rPr>
          <w:sz w:val="22"/>
          <w:szCs w:val="22"/>
        </w:rPr>
        <w:t xml:space="preserve">Store approved outputs as structured, reusable facts so later assets are always grounded in the correct upstream context.</w:t>
      </w:r>
    </w:p>
    <w:p>
      <w:pPr>
        <w:pStyle w:val="ListParagraph"/>
        <w:numPr>
          <w:ilvl w:val="0"/>
          <w:numId w:val="2"/>
        </w:numPr>
        <w:spacing w:after="60"/>
      </w:pPr>
      <w:r>
        <w:rPr>
          <w:sz w:val="22"/>
          <w:szCs w:val="22"/>
        </w:rPr>
        <w:t xml:space="preserve">Export final assets to SharePoint (Microsoft's cloud document library) — or an alternative such as Google Drive/OneDrive — in the required formats (Markdown, HTML, Word).</w:t>
      </w:r>
    </w:p>
    <w:p>
      <w:pPr>
        <w:pStyle w:val="Heading1"/>
        <w:spacing w:after="140" w:before="320"/>
      </w:pPr>
      <w:r>
        <w:t xml:space="preserve">4. Non-Goals (Out of Scope for the MVP)</w:t>
      </w:r>
    </w:p>
    <w:p>
      <w:pPr>
        <w:pStyle w:val="ListParagraph"/>
        <w:numPr>
          <w:ilvl w:val="0"/>
          <w:numId w:val="2"/>
        </w:numPr>
        <w:spacing w:after="60"/>
      </w:pPr>
      <w:r>
        <w:rPr>
          <w:sz w:val="22"/>
          <w:szCs w:val="22"/>
        </w:rPr>
        <w:t xml:space="preserve">General-purpose chat or Q&amp;A functionality unrelated to the pipeline.</w:t>
      </w:r>
    </w:p>
    <w:p>
      <w:pPr>
        <w:pStyle w:val="ListParagraph"/>
        <w:numPr>
          <w:ilvl w:val="0"/>
          <w:numId w:val="2"/>
        </w:numPr>
        <w:spacing w:after="60"/>
      </w:pPr>
      <w:r>
        <w:rPr>
          <w:sz w:val="22"/>
          <w:szCs w:val="22"/>
        </w:rPr>
        <w:t xml:space="preserve">Multiple strategists concurrently editing the same run (v1 assumes a single reviewer per run).</w:t>
      </w:r>
    </w:p>
    <w:p>
      <w:pPr>
        <w:pStyle w:val="ListParagraph"/>
        <w:numPr>
          <w:ilvl w:val="0"/>
          <w:numId w:val="2"/>
        </w:numPr>
        <w:spacing w:after="60"/>
      </w:pPr>
      <w:r>
        <w:rPr>
          <w:sz w:val="22"/>
          <w:szCs w:val="22"/>
        </w:rPr>
        <w:t xml:space="preserve">Phase 2 (remarketing funnel) is not included in the MVP. It reuses the same engine and follows the implementation guidance in Section 15.</w:t>
      </w:r>
    </w:p>
    <w:p>
      <w:pPr>
        <w:pStyle w:val="ListParagraph"/>
        <w:numPr>
          <w:ilvl w:val="0"/>
          <w:numId w:val="2"/>
        </w:numPr>
        <w:spacing w:after="60"/>
      </w:pPr>
      <w:r>
        <w:rPr>
          <w:sz w:val="22"/>
          <w:szCs w:val="22"/>
        </w:rPr>
        <w:t xml:space="preserve">Automatic publishing to external channels (social platforms, ad platforms, email/SMS providers). The app produces deliverables; it does not deploy them.</w:t>
      </w:r>
    </w:p>
    <w:p>
      <w:pPr>
        <w:pStyle w:val="Heading1"/>
        <w:spacing w:after="140" w:before="320"/>
      </w:pPr>
      <w:r>
        <w:t xml:space="preserve">5. Target Users</w:t>
      </w:r>
    </w:p>
    <w:p>
      <w:pPr>
        <w:spacing w:after="100"/>
      </w:pPr>
      <w:r>
        <w:rPr>
          <w:b/>
          <w:bCs/>
          <w:sz w:val="22"/>
          <w:szCs w:val="22"/>
        </w:rPr>
        <w:t xml:space="preserve">Primary — </w:t>
      </w:r>
      <w:r>
        <w:rPr>
          <w:sz w:val="22"/>
          <w:szCs w:val="22"/>
        </w:rPr>
        <w:t xml:space="preserve">Marketing strategist / reviewer who approves, edits, or rejects each generated asset.</w:t>
      </w:r>
    </w:p>
    <w:p>
      <w:pPr>
        <w:spacing w:after="100"/>
      </w:pPr>
      <w:r>
        <w:rPr>
          <w:b/>
          <w:bCs/>
          <w:sz w:val="22"/>
          <w:szCs w:val="22"/>
        </w:rPr>
        <w:t xml:space="preserve">Secondary — </w:t>
      </w:r>
      <w:r>
        <w:rPr>
          <w:sz w:val="22"/>
          <w:szCs w:val="22"/>
        </w:rPr>
        <w:t xml:space="preserve">Agency or operations lead who monitors run status and retrieves final deliverables.</w:t>
      </w:r>
    </w:p>
    <w:p>
      <w:pPr>
        <w:spacing w:after="100"/>
      </w:pPr>
      <w:r>
        <w:rPr>
          <w:b/>
          <w:bCs/>
          <w:sz w:val="22"/>
          <w:szCs w:val="22"/>
        </w:rPr>
        <w:t xml:space="preserve">Tertiary — </w:t>
      </w:r>
      <w:r>
        <w:rPr>
          <w:sz w:val="22"/>
          <w:szCs w:val="22"/>
        </w:rPr>
        <w:t xml:space="preserve">Developer/admin who maintains the asset registry and the prompt recipe library.</w:t>
      </w:r>
    </w:p>
    <w:p>
      <w:pPr>
        <w:pStyle w:val="Heading1"/>
        <w:spacing w:after="140" w:before="320"/>
      </w:pPr>
      <w:r>
        <w:t xml:space="preserve">6. Product Scope — The 16 Phase 1 Assets</w:t>
      </w:r>
    </w:p>
    <w:p>
      <w:pPr>
        <w:spacing w:after="140"/>
      </w:pPr>
      <w:r>
        <w:rPr>
          <w:sz w:val="22"/>
          <w:szCs w:val="22"/>
        </w:rPr>
        <w:t xml:space="preserve">The table below reflects the exact asset order, gating status, and context wiring defined in the Asset Wiring Technical Specification (Manus AI, July 29, 2026). Only the first three stages — ICP, CRO, and Pillar Page — are gated for strategist review; every stage from Funnel onward auto-chains once Pillar Page is approved. Each stage is a single, stateless call: it reads named fields from the shared context store and writes its own new fields, so no stage depends on Claude “remembering” earlier stages through conversation history.</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500"/>
        <w:gridCol w:w="2400"/>
        <w:gridCol w:w="3300"/>
        <w:gridCol w:w="3160"/>
      </w:tblGrid>
      <w:tr>
        <w:trPr>
          <w:tblHeader/>
        </w:trPr>
        <w:tc>
          <w:tcPr>
            <w:tcW w:type="dxa" w:w="500"/>
            <w:shd w:fill="2F5D62" w:val="clear"/>
          </w:tcPr>
          <w:p>
            <w:r>
              <w:rPr>
                <w:b/>
                <w:bCs/>
                <w:color w:val="FFFFFF"/>
                <w:sz w:val="19"/>
                <w:szCs w:val="19"/>
              </w:rPr>
              <w:t xml:space="preserve">#</w:t>
            </w:r>
          </w:p>
        </w:tc>
        <w:tc>
          <w:tcPr>
            <w:tcW w:type="dxa" w:w="2400"/>
            <w:shd w:fill="2F5D62" w:val="clear"/>
          </w:tcPr>
          <w:p>
            <w:r>
              <w:rPr>
                <w:b/>
                <w:bCs/>
                <w:color w:val="FFFFFF"/>
                <w:sz w:val="19"/>
                <w:szCs w:val="19"/>
              </w:rPr>
              <w:t xml:space="preserve">Asset</w:t>
            </w:r>
          </w:p>
        </w:tc>
        <w:tc>
          <w:tcPr>
            <w:tcW w:type="dxa" w:w="3300"/>
            <w:shd w:fill="2F5D62" w:val="clear"/>
          </w:tcPr>
          <w:p>
            <w:r>
              <w:rPr>
                <w:b/>
                <w:bCs/>
                <w:color w:val="FFFFFF"/>
                <w:sz w:val="19"/>
                <w:szCs w:val="19"/>
              </w:rPr>
              <w:t xml:space="preserve">Reads from context</w:t>
            </w:r>
          </w:p>
        </w:tc>
        <w:tc>
          <w:tcPr>
            <w:tcW w:type="dxa" w:w="3160"/>
            <w:shd w:fill="2F5D62" w:val="clear"/>
          </w:tcPr>
          <w:p>
            <w:r>
              <w:rPr>
                <w:b/>
                <w:bCs/>
                <w:color w:val="FFFFFF"/>
                <w:sz w:val="19"/>
                <w:szCs w:val="19"/>
              </w:rPr>
              <w:t xml:space="preserve">Writes to context</w:t>
            </w:r>
          </w:p>
        </w:tc>
      </w:tr>
      <w:tr>
        <w:tc>
          <w:tcPr>
            <w:tcW w:type="dxa" w:w="500"/>
          </w:tcPr>
          <w:p>
            <w:pPr>
              <w:spacing w:after="40"/>
            </w:pPr>
            <w:r>
              <w:rPr>
                <w:sz w:val="19"/>
                <w:szCs w:val="19"/>
              </w:rPr>
              <w:t xml:space="preserve">1</w:t>
            </w:r>
          </w:p>
        </w:tc>
        <w:tc>
          <w:tcPr>
            <w:tcW w:type="dxa" w:w="2400"/>
          </w:tcPr>
          <w:p>
            <w:pPr>
              <w:spacing w:after="40"/>
            </w:pPr>
            <w:r>
              <w:rPr>
                <w:sz w:val="19"/>
                <w:szCs w:val="19"/>
              </w:rPr>
              <w:t xml:space="preserve">ICP</w:t>
            </w:r>
          </w:p>
        </w:tc>
        <w:tc>
          <w:tcPr>
            <w:tcW w:type="dxa" w:w="3300"/>
          </w:tcPr>
          <w:p>
            <w:pPr>
              <w:spacing w:after="40"/>
            </w:pPr>
            <w:r>
              <w:rPr>
                <w:sz w:val="19"/>
                <w:szCs w:val="19"/>
              </w:rPr>
              <w:t xml:space="preserve">Operator-entered intake only (company, industry, region, service focus, known competitors) — no prior context exists yet.</w:t>
            </w:r>
          </w:p>
        </w:tc>
        <w:tc>
          <w:tcPr>
            <w:tcW w:type="dxa" w:w="3160"/>
          </w:tcPr>
          <w:p>
            <w:pPr>
              <w:spacing w:after="40"/>
            </w:pPr>
            <w:r>
              <w:rPr>
                <w:sz w:val="19"/>
                <w:szCs w:val="19"/>
              </w:rPr>
              <w:t xml:space="preserve">icp_persona_name, icp_pain_points, icp_demographics, icp_psychographics, icp_objections, icp_awareness_stage</w:t>
            </w:r>
          </w:p>
        </w:tc>
      </w:tr>
      <w:tr>
        <w:tc>
          <w:tcPr>
            <w:tcW w:type="dxa" w:w="500"/>
            <w:shd w:fill="F2F2F2" w:val="clear"/>
          </w:tcPr>
          <w:p>
            <w:pPr>
              <w:spacing w:after="40"/>
            </w:pPr>
            <w:r>
              <w:rPr>
                <w:sz w:val="19"/>
                <w:szCs w:val="19"/>
              </w:rPr>
              <w:t xml:space="preserve">2</w:t>
            </w:r>
          </w:p>
        </w:tc>
        <w:tc>
          <w:tcPr>
            <w:tcW w:type="dxa" w:w="2400"/>
            <w:shd w:fill="F2F2F2" w:val="clear"/>
          </w:tcPr>
          <w:p>
            <w:pPr>
              <w:spacing w:after="40"/>
            </w:pPr>
            <w:r>
              <w:rPr>
                <w:sz w:val="19"/>
                <w:szCs w:val="19"/>
              </w:rPr>
              <w:t xml:space="preserve">CRO</w:t>
            </w:r>
          </w:p>
        </w:tc>
        <w:tc>
          <w:tcPr>
            <w:tcW w:type="dxa" w:w="3300"/>
            <w:shd w:fill="F2F2F2" w:val="clear"/>
          </w:tcPr>
          <w:p>
            <w:pPr>
              <w:spacing w:after="40"/>
            </w:pPr>
            <w:r>
              <w:rPr>
                <w:sz w:val="19"/>
                <w:szCs w:val="19"/>
              </w:rPr>
              <w:t xml:space="preserve">All icp_* fields, plus a supplied Competitor Analysis document, a CRO Framework document, and the existing landing page copy.</w:t>
            </w:r>
          </w:p>
        </w:tc>
        <w:tc>
          <w:tcPr>
            <w:tcW w:type="dxa" w:w="3160"/>
            <w:shd w:fill="F2F2F2" w:val="clear"/>
          </w:tcPr>
          <w:p>
            <w:pPr>
              <w:spacing w:after="40"/>
            </w:pPr>
            <w:r>
              <w:rPr>
                <w:sz w:val="19"/>
                <w:szCs w:val="19"/>
              </w:rPr>
              <w:t xml:space="preserve">cro_audit_findings, cro_rewritten_copy, cro_locked_sections</w:t>
            </w:r>
          </w:p>
        </w:tc>
      </w:tr>
      <w:tr>
        <w:tc>
          <w:tcPr>
            <w:tcW w:type="dxa" w:w="500"/>
          </w:tcPr>
          <w:p>
            <w:pPr>
              <w:spacing w:after="40"/>
            </w:pPr>
            <w:r>
              <w:rPr>
                <w:sz w:val="19"/>
                <w:szCs w:val="19"/>
              </w:rPr>
              <w:t xml:space="preserve">3</w:t>
            </w:r>
          </w:p>
        </w:tc>
        <w:tc>
          <w:tcPr>
            <w:tcW w:type="dxa" w:w="2400"/>
          </w:tcPr>
          <w:p>
            <w:pPr>
              <w:spacing w:after="40"/>
            </w:pPr>
            <w:r>
              <w:rPr>
                <w:sz w:val="19"/>
                <w:szCs w:val="19"/>
              </w:rPr>
              <w:t xml:space="preserve">Pillar Page</w:t>
            </w:r>
          </w:p>
        </w:tc>
        <w:tc>
          <w:tcPr>
            <w:tcW w:type="dxa" w:w="3300"/>
          </w:tcPr>
          <w:p>
            <w:pPr>
              <w:spacing w:after="40"/>
            </w:pPr>
            <w:r>
              <w:rPr>
                <w:sz w:val="19"/>
                <w:szCs w:val="19"/>
              </w:rPr>
              <w:t xml:space="preserve">cro_rewritten_copy and cro_locked_sections, plus a reference screenshot or URL of an existing branded page.</w:t>
            </w:r>
          </w:p>
        </w:tc>
        <w:tc>
          <w:tcPr>
            <w:tcW w:type="dxa" w:w="3160"/>
          </w:tcPr>
          <w:p>
            <w:pPr>
              <w:spacing w:after="40"/>
            </w:pPr>
            <w:r>
              <w:rPr>
                <w:sz w:val="19"/>
                <w:szCs w:val="19"/>
              </w:rPr>
              <w:t xml:space="preserve">design_tokens, pillar_page_html</w:t>
            </w:r>
          </w:p>
        </w:tc>
      </w:tr>
      <w:tr>
        <w:tc>
          <w:tcPr>
            <w:tcW w:type="dxa" w:w="500"/>
            <w:shd w:fill="F2F2F2" w:val="clear"/>
          </w:tcPr>
          <w:p>
            <w:pPr>
              <w:spacing w:after="40"/>
            </w:pPr>
            <w:r>
              <w:rPr>
                <w:sz w:val="19"/>
                <w:szCs w:val="19"/>
              </w:rPr>
              <w:t xml:space="preserve">4</w:t>
            </w:r>
          </w:p>
        </w:tc>
        <w:tc>
          <w:tcPr>
            <w:tcW w:type="dxa" w:w="2400"/>
            <w:shd w:fill="F2F2F2" w:val="clear"/>
          </w:tcPr>
          <w:p>
            <w:pPr>
              <w:spacing w:after="40"/>
            </w:pPr>
            <w:r>
              <w:rPr>
                <w:sz w:val="19"/>
                <w:szCs w:val="19"/>
              </w:rPr>
              <w:t xml:space="preserve">Funnel</w:t>
            </w:r>
          </w:p>
        </w:tc>
        <w:tc>
          <w:tcPr>
            <w:tcW w:type="dxa" w:w="3300"/>
            <w:shd w:fill="F2F2F2" w:val="clear"/>
          </w:tcPr>
          <w:p>
            <w:pPr>
              <w:spacing w:after="40"/>
            </w:pPr>
            <w:r>
              <w:rPr>
                <w:sz w:val="19"/>
                <w:szCs w:val="19"/>
              </w:rPr>
              <w:t xml:space="preserve">icp_* fields, cro_rewritten_copy, design_tokens.</w:t>
            </w:r>
          </w:p>
        </w:tc>
        <w:tc>
          <w:tcPr>
            <w:tcW w:type="dxa" w:w="3160"/>
            <w:shd w:fill="F2F2F2" w:val="clear"/>
          </w:tcPr>
          <w:p>
            <w:pPr>
              <w:spacing w:after="40"/>
            </w:pPr>
            <w:r>
              <w:rPr>
                <w:sz w:val="19"/>
                <w:szCs w:val="19"/>
              </w:rPr>
              <w:t xml:space="preserve">funnel_stages, funnel_cta_map</w:t>
            </w:r>
          </w:p>
        </w:tc>
      </w:tr>
      <w:tr>
        <w:tc>
          <w:tcPr>
            <w:tcW w:type="dxa" w:w="500"/>
          </w:tcPr>
          <w:p>
            <w:pPr>
              <w:spacing w:after="40"/>
            </w:pPr>
            <w:r>
              <w:rPr>
                <w:sz w:val="19"/>
                <w:szCs w:val="19"/>
              </w:rPr>
              <w:t xml:space="preserve">5</w:t>
            </w:r>
          </w:p>
        </w:tc>
        <w:tc>
          <w:tcPr>
            <w:tcW w:type="dxa" w:w="2400"/>
          </w:tcPr>
          <w:p>
            <w:pPr>
              <w:spacing w:after="40"/>
            </w:pPr>
            <w:r>
              <w:rPr>
                <w:sz w:val="19"/>
                <w:szCs w:val="19"/>
              </w:rPr>
              <w:t xml:space="preserve">Offers</w:t>
            </w:r>
          </w:p>
        </w:tc>
        <w:tc>
          <w:tcPr>
            <w:tcW w:type="dxa" w:w="3300"/>
          </w:tcPr>
          <w:p>
            <w:pPr>
              <w:spacing w:after="40"/>
            </w:pPr>
            <w:r>
              <w:rPr>
                <w:sz w:val="19"/>
                <w:szCs w:val="19"/>
              </w:rPr>
              <w:t xml:space="preserve">icp_pain_points, funnel_stages.</w:t>
            </w:r>
          </w:p>
        </w:tc>
        <w:tc>
          <w:tcPr>
            <w:tcW w:type="dxa" w:w="3160"/>
          </w:tcPr>
          <w:p>
            <w:pPr>
              <w:spacing w:after="40"/>
            </w:pPr>
            <w:r>
              <w:rPr>
                <w:sz w:val="19"/>
                <w:szCs w:val="19"/>
              </w:rPr>
              <w:t xml:space="preserve">offer_ladder</w:t>
            </w:r>
          </w:p>
        </w:tc>
      </w:tr>
      <w:tr>
        <w:tc>
          <w:tcPr>
            <w:tcW w:type="dxa" w:w="500"/>
            <w:shd w:fill="F2F2F2" w:val="clear"/>
          </w:tcPr>
          <w:p>
            <w:pPr>
              <w:spacing w:after="40"/>
            </w:pPr>
            <w:r>
              <w:rPr>
                <w:sz w:val="19"/>
                <w:szCs w:val="19"/>
              </w:rPr>
              <w:t xml:space="preserve">6</w:t>
            </w:r>
          </w:p>
        </w:tc>
        <w:tc>
          <w:tcPr>
            <w:tcW w:type="dxa" w:w="2400"/>
            <w:shd w:fill="F2F2F2" w:val="clear"/>
          </w:tcPr>
          <w:p>
            <w:pPr>
              <w:spacing w:after="40"/>
            </w:pPr>
            <w:r>
              <w:rPr>
                <w:sz w:val="19"/>
                <w:szCs w:val="19"/>
              </w:rPr>
              <w:t xml:space="preserve">Lead Magnet</w:t>
            </w:r>
          </w:p>
        </w:tc>
        <w:tc>
          <w:tcPr>
            <w:tcW w:type="dxa" w:w="3300"/>
            <w:shd w:fill="F2F2F2" w:val="clear"/>
          </w:tcPr>
          <w:p>
            <w:pPr>
              <w:spacing w:after="40"/>
            </w:pPr>
            <w:r>
              <w:rPr>
                <w:sz w:val="19"/>
                <w:szCs w:val="19"/>
              </w:rPr>
              <w:t xml:space="preserve">icp_* fields, offer_ladder.</w:t>
            </w:r>
          </w:p>
        </w:tc>
        <w:tc>
          <w:tcPr>
            <w:tcW w:type="dxa" w:w="3160"/>
            <w:shd w:fill="F2F2F2" w:val="clear"/>
          </w:tcPr>
          <w:p>
            <w:pPr>
              <w:spacing w:after="40"/>
            </w:pPr>
            <w:r>
              <w:rPr>
                <w:sz w:val="19"/>
                <w:szCs w:val="19"/>
              </w:rPr>
              <w:t xml:space="preserve">lead_magnet_type, lead_magnet_copy</w:t>
            </w:r>
          </w:p>
        </w:tc>
      </w:tr>
      <w:tr>
        <w:tc>
          <w:tcPr>
            <w:tcW w:type="dxa" w:w="500"/>
          </w:tcPr>
          <w:p>
            <w:pPr>
              <w:spacing w:after="40"/>
            </w:pPr>
            <w:r>
              <w:rPr>
                <w:sz w:val="19"/>
                <w:szCs w:val="19"/>
              </w:rPr>
              <w:t xml:space="preserve">7</w:t>
            </w:r>
          </w:p>
        </w:tc>
        <w:tc>
          <w:tcPr>
            <w:tcW w:type="dxa" w:w="2400"/>
          </w:tcPr>
          <w:p>
            <w:pPr>
              <w:spacing w:after="40"/>
            </w:pPr>
            <w:r>
              <w:rPr>
                <w:sz w:val="19"/>
                <w:szCs w:val="19"/>
              </w:rPr>
              <w:t xml:space="preserve">Blog</w:t>
            </w:r>
          </w:p>
        </w:tc>
        <w:tc>
          <w:tcPr>
            <w:tcW w:type="dxa" w:w="3300"/>
          </w:tcPr>
          <w:p>
            <w:pPr>
              <w:spacing w:after="40"/>
            </w:pPr>
            <w:r>
              <w:rPr>
                <w:sz w:val="19"/>
                <w:szCs w:val="19"/>
              </w:rPr>
              <w:t xml:space="preserve">icp_* fields, cro_rewritten_copy (voice/tone), plus an internal keyword/SERP-gap check.</w:t>
            </w:r>
          </w:p>
        </w:tc>
        <w:tc>
          <w:tcPr>
            <w:tcW w:type="dxa" w:w="3160"/>
          </w:tcPr>
          <w:p>
            <w:pPr>
              <w:spacing w:after="40"/>
            </w:pPr>
            <w:r>
              <w:rPr>
                <w:sz w:val="19"/>
                <w:szCs w:val="19"/>
              </w:rPr>
              <w:t xml:space="preserve">blog_posts</w:t>
            </w:r>
          </w:p>
        </w:tc>
      </w:tr>
      <w:tr>
        <w:tc>
          <w:tcPr>
            <w:tcW w:type="dxa" w:w="500"/>
            <w:shd w:fill="F2F2F2" w:val="clear"/>
          </w:tcPr>
          <w:p>
            <w:pPr>
              <w:spacing w:after="40"/>
            </w:pPr>
            <w:r>
              <w:rPr>
                <w:sz w:val="19"/>
                <w:szCs w:val="19"/>
              </w:rPr>
              <w:t xml:space="preserve">8</w:t>
            </w:r>
          </w:p>
        </w:tc>
        <w:tc>
          <w:tcPr>
            <w:tcW w:type="dxa" w:w="2400"/>
            <w:shd w:fill="F2F2F2" w:val="clear"/>
          </w:tcPr>
          <w:p>
            <w:pPr>
              <w:spacing w:after="40"/>
            </w:pPr>
            <w:r>
              <w:rPr>
                <w:sz w:val="19"/>
                <w:szCs w:val="19"/>
              </w:rPr>
              <w:t xml:space="preserve">Text/SMS</w:t>
            </w:r>
          </w:p>
        </w:tc>
        <w:tc>
          <w:tcPr>
            <w:tcW w:type="dxa" w:w="3300"/>
            <w:shd w:fill="F2F2F2" w:val="clear"/>
          </w:tcPr>
          <w:p>
            <w:pPr>
              <w:spacing w:after="40"/>
            </w:pPr>
            <w:r>
              <w:rPr>
                <w:sz w:val="19"/>
                <w:szCs w:val="19"/>
              </w:rPr>
              <w:t xml:space="preserve">icp_* fields, funnel_stages.</w:t>
            </w:r>
          </w:p>
        </w:tc>
        <w:tc>
          <w:tcPr>
            <w:tcW w:type="dxa" w:w="3160"/>
            <w:shd w:fill="F2F2F2" w:val="clear"/>
          </w:tcPr>
          <w:p>
            <w:pPr>
              <w:spacing w:after="40"/>
            </w:pPr>
            <w:r>
              <w:rPr>
                <w:sz w:val="19"/>
                <w:szCs w:val="19"/>
              </w:rPr>
              <w:t xml:space="preserve">sms_sequence</w:t>
            </w:r>
          </w:p>
        </w:tc>
      </w:tr>
      <w:tr>
        <w:tc>
          <w:tcPr>
            <w:tcW w:type="dxa" w:w="500"/>
          </w:tcPr>
          <w:p>
            <w:pPr>
              <w:spacing w:after="40"/>
            </w:pPr>
            <w:r>
              <w:rPr>
                <w:sz w:val="19"/>
                <w:szCs w:val="19"/>
              </w:rPr>
              <w:t xml:space="preserve">9</w:t>
            </w:r>
          </w:p>
        </w:tc>
        <w:tc>
          <w:tcPr>
            <w:tcW w:type="dxa" w:w="2400"/>
          </w:tcPr>
          <w:p>
            <w:pPr>
              <w:spacing w:after="40"/>
            </w:pPr>
            <w:r>
              <w:rPr>
                <w:sz w:val="19"/>
                <w:szCs w:val="19"/>
              </w:rPr>
              <w:t xml:space="preserve">SEO-focused Pillar Page</w:t>
            </w:r>
          </w:p>
        </w:tc>
        <w:tc>
          <w:tcPr>
            <w:tcW w:type="dxa" w:w="3300"/>
          </w:tcPr>
          <w:p>
            <w:pPr>
              <w:spacing w:after="40"/>
            </w:pPr>
            <w:r>
              <w:rPr>
                <w:sz w:val="19"/>
                <w:szCs w:val="19"/>
              </w:rPr>
              <w:t xml:space="preserve">cro_rewritten_copy, design_tokens — a variant pass focused on organic search rather than paid.</w:t>
            </w:r>
          </w:p>
        </w:tc>
        <w:tc>
          <w:tcPr>
            <w:tcW w:type="dxa" w:w="3160"/>
          </w:tcPr>
          <w:p>
            <w:pPr>
              <w:spacing w:after="40"/>
            </w:pPr>
            <w:r>
              <w:rPr>
                <w:sz w:val="19"/>
                <w:szCs w:val="19"/>
              </w:rPr>
              <w:t xml:space="preserve">seo_pillar_page_copy</w:t>
            </w:r>
          </w:p>
        </w:tc>
      </w:tr>
      <w:tr>
        <w:tc>
          <w:tcPr>
            <w:tcW w:type="dxa" w:w="500"/>
            <w:shd w:fill="F2F2F2" w:val="clear"/>
          </w:tcPr>
          <w:p>
            <w:pPr>
              <w:spacing w:after="40"/>
            </w:pPr>
            <w:r>
              <w:rPr>
                <w:sz w:val="19"/>
                <w:szCs w:val="19"/>
              </w:rPr>
              <w:t xml:space="preserve">10</w:t>
            </w:r>
          </w:p>
        </w:tc>
        <w:tc>
          <w:tcPr>
            <w:tcW w:type="dxa" w:w="2400"/>
            <w:shd w:fill="F2F2F2" w:val="clear"/>
          </w:tcPr>
          <w:p>
            <w:pPr>
              <w:spacing w:after="40"/>
            </w:pPr>
            <w:r>
              <w:rPr>
                <w:sz w:val="19"/>
                <w:szCs w:val="19"/>
              </w:rPr>
              <w:t xml:space="preserve">Plan of Action</w:t>
            </w:r>
          </w:p>
        </w:tc>
        <w:tc>
          <w:tcPr>
            <w:tcW w:type="dxa" w:w="3300"/>
            <w:shd w:fill="F2F2F2" w:val="clear"/>
          </w:tcPr>
          <w:p>
            <w:pPr>
              <w:spacing w:after="40"/>
            </w:pPr>
            <w:r>
              <w:rPr>
                <w:sz w:val="19"/>
                <w:szCs w:val="19"/>
              </w:rPr>
              <w:t xml:space="preserve">Every context field written so far in Phase 1 — a synthesis step, not a new content type.</w:t>
            </w:r>
          </w:p>
        </w:tc>
        <w:tc>
          <w:tcPr>
            <w:tcW w:type="dxa" w:w="3160"/>
            <w:shd w:fill="F2F2F2" w:val="clear"/>
          </w:tcPr>
          <w:p>
            <w:pPr>
              <w:spacing w:after="40"/>
            </w:pPr>
            <w:r>
              <w:rPr>
                <w:sz w:val="19"/>
                <w:szCs w:val="19"/>
              </w:rPr>
              <w:t xml:space="preserve">plan_of_action_summary, plus the asset-mindmap and plan-of-action-tree visuals</w:t>
            </w:r>
          </w:p>
        </w:tc>
      </w:tr>
      <w:tr>
        <w:tc>
          <w:tcPr>
            <w:tcW w:type="dxa" w:w="500"/>
          </w:tcPr>
          <w:p>
            <w:pPr>
              <w:spacing w:after="40"/>
            </w:pPr>
            <w:r>
              <w:rPr>
                <w:sz w:val="19"/>
                <w:szCs w:val="19"/>
              </w:rPr>
              <w:t xml:space="preserve">11</w:t>
            </w:r>
          </w:p>
        </w:tc>
        <w:tc>
          <w:tcPr>
            <w:tcW w:type="dxa" w:w="2400"/>
          </w:tcPr>
          <w:p>
            <w:pPr>
              <w:spacing w:after="40"/>
            </w:pPr>
            <w:r>
              <w:rPr>
                <w:sz w:val="19"/>
                <w:szCs w:val="19"/>
              </w:rPr>
              <w:t xml:space="preserve">Content Marketing</w:t>
            </w:r>
          </w:p>
        </w:tc>
        <w:tc>
          <w:tcPr>
            <w:tcW w:type="dxa" w:w="3300"/>
          </w:tcPr>
          <w:p>
            <w:pPr>
              <w:spacing w:after="40"/>
            </w:pPr>
            <w:r>
              <w:rPr>
                <w:sz w:val="19"/>
                <w:szCs w:val="19"/>
              </w:rPr>
              <w:t xml:space="preserve">icp_* fields, blog_posts, offer_ladder.</w:t>
            </w:r>
          </w:p>
        </w:tc>
        <w:tc>
          <w:tcPr>
            <w:tcW w:type="dxa" w:w="3160"/>
          </w:tcPr>
          <w:p>
            <w:pPr>
              <w:spacing w:after="40"/>
            </w:pPr>
            <w:r>
              <w:rPr>
                <w:sz w:val="19"/>
                <w:szCs w:val="19"/>
              </w:rPr>
              <w:t xml:space="preserve">content_marketing_strategy</w:t>
            </w:r>
          </w:p>
        </w:tc>
      </w:tr>
      <w:tr>
        <w:tc>
          <w:tcPr>
            <w:tcW w:type="dxa" w:w="500"/>
            <w:shd w:fill="F2F2F2" w:val="clear"/>
          </w:tcPr>
          <w:p>
            <w:pPr>
              <w:spacing w:after="40"/>
            </w:pPr>
            <w:r>
              <w:rPr>
                <w:sz w:val="19"/>
                <w:szCs w:val="19"/>
              </w:rPr>
              <w:t xml:space="preserve">12</w:t>
            </w:r>
          </w:p>
        </w:tc>
        <w:tc>
          <w:tcPr>
            <w:tcW w:type="dxa" w:w="2400"/>
            <w:shd w:fill="F2F2F2" w:val="clear"/>
          </w:tcPr>
          <w:p>
            <w:pPr>
              <w:spacing w:after="40"/>
            </w:pPr>
            <w:r>
              <w:rPr>
                <w:sz w:val="19"/>
                <w:szCs w:val="19"/>
              </w:rPr>
              <w:t xml:space="preserve">Social Content Strategy</w:t>
            </w:r>
          </w:p>
        </w:tc>
        <w:tc>
          <w:tcPr>
            <w:tcW w:type="dxa" w:w="3300"/>
            <w:shd w:fill="F2F2F2" w:val="clear"/>
          </w:tcPr>
          <w:p>
            <w:pPr>
              <w:spacing w:after="40"/>
            </w:pPr>
            <w:r>
              <w:rPr>
                <w:sz w:val="19"/>
                <w:szCs w:val="19"/>
              </w:rPr>
              <w:t xml:space="preserve">icp_* fields, content_marketing_strategy.</w:t>
            </w:r>
          </w:p>
        </w:tc>
        <w:tc>
          <w:tcPr>
            <w:tcW w:type="dxa" w:w="3160"/>
            <w:shd w:fill="F2F2F2" w:val="clear"/>
          </w:tcPr>
          <w:p>
            <w:pPr>
              <w:spacing w:after="40"/>
            </w:pPr>
            <w:r>
              <w:rPr>
                <w:sz w:val="19"/>
                <w:szCs w:val="19"/>
              </w:rPr>
              <w:t xml:space="preserve">social_strategy</w:t>
            </w:r>
          </w:p>
        </w:tc>
      </w:tr>
      <w:tr>
        <w:tc>
          <w:tcPr>
            <w:tcW w:type="dxa" w:w="500"/>
          </w:tcPr>
          <w:p>
            <w:pPr>
              <w:spacing w:after="40"/>
            </w:pPr>
            <w:r>
              <w:rPr>
                <w:sz w:val="19"/>
                <w:szCs w:val="19"/>
              </w:rPr>
              <w:t xml:space="preserve">13</w:t>
            </w:r>
          </w:p>
        </w:tc>
        <w:tc>
          <w:tcPr>
            <w:tcW w:type="dxa" w:w="2400"/>
          </w:tcPr>
          <w:p>
            <w:pPr>
              <w:spacing w:after="40"/>
            </w:pPr>
            <w:r>
              <w:rPr>
                <w:sz w:val="19"/>
                <w:szCs w:val="19"/>
              </w:rPr>
              <w:t xml:space="preserve">Webinars (competitor-sourced)</w:t>
            </w:r>
          </w:p>
        </w:tc>
        <w:tc>
          <w:tcPr>
            <w:tcW w:type="dxa" w:w="3300"/>
          </w:tcPr>
          <w:p>
            <w:pPr>
              <w:spacing w:after="40"/>
            </w:pPr>
            <w:r>
              <w:rPr>
                <w:sz w:val="19"/>
                <w:szCs w:val="19"/>
              </w:rPr>
              <w:t xml:space="preserve">icp_* fields, plus a supplied competitor webinar transcript (external document).</w:t>
            </w:r>
          </w:p>
        </w:tc>
        <w:tc>
          <w:tcPr>
            <w:tcW w:type="dxa" w:w="3160"/>
          </w:tcPr>
          <w:p>
            <w:pPr>
              <w:spacing w:after="40"/>
            </w:pPr>
            <w:r>
              <w:rPr>
                <w:sz w:val="19"/>
                <w:szCs w:val="19"/>
              </w:rPr>
              <w:t xml:space="preserve">webinar_competitor_findings</w:t>
            </w:r>
          </w:p>
        </w:tc>
      </w:tr>
      <w:tr>
        <w:tc>
          <w:tcPr>
            <w:tcW w:type="dxa" w:w="500"/>
            <w:shd w:fill="F2F2F2" w:val="clear"/>
          </w:tcPr>
          <w:p>
            <w:pPr>
              <w:spacing w:after="40"/>
            </w:pPr>
            <w:r>
              <w:rPr>
                <w:sz w:val="19"/>
                <w:szCs w:val="19"/>
              </w:rPr>
              <w:t xml:space="preserve">14</w:t>
            </w:r>
          </w:p>
        </w:tc>
        <w:tc>
          <w:tcPr>
            <w:tcW w:type="dxa" w:w="2400"/>
            <w:shd w:fill="F2F2F2" w:val="clear"/>
          </w:tcPr>
          <w:p>
            <w:pPr>
              <w:spacing w:after="40"/>
            </w:pPr>
            <w:r>
              <w:rPr>
                <w:sz w:val="19"/>
                <w:szCs w:val="19"/>
              </w:rPr>
              <w:t xml:space="preserve">Webinars (LLM-sourced)</w:t>
            </w:r>
          </w:p>
        </w:tc>
        <w:tc>
          <w:tcPr>
            <w:tcW w:type="dxa" w:w="3300"/>
            <w:shd w:fill="F2F2F2" w:val="clear"/>
          </w:tcPr>
          <w:p>
            <w:pPr>
              <w:spacing w:after="40"/>
            </w:pPr>
            <w:r>
              <w:rPr>
                <w:sz w:val="19"/>
                <w:szCs w:val="19"/>
              </w:rPr>
              <w:t xml:space="preserve">icp_* fields, webinar_competitor_findings — builds on the competitor pass rather than duplicating it.</w:t>
            </w:r>
          </w:p>
        </w:tc>
        <w:tc>
          <w:tcPr>
            <w:tcW w:type="dxa" w:w="3160"/>
            <w:shd w:fill="F2F2F2" w:val="clear"/>
          </w:tcPr>
          <w:p>
            <w:pPr>
              <w:spacing w:after="40"/>
            </w:pPr>
            <w:r>
              <w:rPr>
                <w:sz w:val="19"/>
                <w:szCs w:val="19"/>
              </w:rPr>
              <w:t xml:space="preserve">webinar_script</w:t>
            </w:r>
          </w:p>
        </w:tc>
      </w:tr>
      <w:tr>
        <w:tc>
          <w:tcPr>
            <w:tcW w:type="dxa" w:w="500"/>
          </w:tcPr>
          <w:p>
            <w:pPr>
              <w:spacing w:after="40"/>
            </w:pPr>
            <w:r>
              <w:rPr>
                <w:sz w:val="19"/>
                <w:szCs w:val="19"/>
              </w:rPr>
              <w:t xml:space="preserve">15</w:t>
            </w:r>
          </w:p>
        </w:tc>
        <w:tc>
          <w:tcPr>
            <w:tcW w:type="dxa" w:w="2400"/>
          </w:tcPr>
          <w:p>
            <w:pPr>
              <w:spacing w:after="40"/>
            </w:pPr>
            <w:r>
              <w:rPr>
                <w:sz w:val="19"/>
                <w:szCs w:val="19"/>
              </w:rPr>
              <w:t xml:space="preserve">Book</w:t>
            </w:r>
          </w:p>
        </w:tc>
        <w:tc>
          <w:tcPr>
            <w:tcW w:type="dxa" w:w="3300"/>
          </w:tcPr>
          <w:p>
            <w:pPr>
              <w:spacing w:after="40"/>
            </w:pPr>
            <w:r>
              <w:rPr>
                <w:sz w:val="19"/>
                <w:szCs w:val="19"/>
              </w:rPr>
              <w:t xml:space="preserve">icp_* fields, content_marketing_strategy, plan_of_action_summary — long-form synthesis of everything so far.</w:t>
            </w:r>
          </w:p>
        </w:tc>
        <w:tc>
          <w:tcPr>
            <w:tcW w:type="dxa" w:w="3160"/>
          </w:tcPr>
          <w:p>
            <w:pPr>
              <w:spacing w:after="40"/>
            </w:pPr>
            <w:r>
              <w:rPr>
                <w:sz w:val="19"/>
                <w:szCs w:val="19"/>
              </w:rPr>
              <w:t xml:space="preserve">book_outline</w:t>
            </w:r>
          </w:p>
        </w:tc>
      </w:tr>
      <w:tr>
        <w:tc>
          <w:tcPr>
            <w:tcW w:type="dxa" w:w="500"/>
            <w:shd w:fill="F2F2F2" w:val="clear"/>
          </w:tcPr>
          <w:p>
            <w:pPr>
              <w:spacing w:after="40"/>
            </w:pPr>
            <w:r>
              <w:rPr>
                <w:sz w:val="19"/>
                <w:szCs w:val="19"/>
              </w:rPr>
              <w:t xml:space="preserve">16</w:t>
            </w:r>
          </w:p>
        </w:tc>
        <w:tc>
          <w:tcPr>
            <w:tcW w:type="dxa" w:w="2400"/>
            <w:shd w:fill="F2F2F2" w:val="clear"/>
          </w:tcPr>
          <w:p>
            <w:pPr>
              <w:spacing w:after="40"/>
            </w:pPr>
            <w:r>
              <w:rPr>
                <w:sz w:val="19"/>
                <w:szCs w:val="19"/>
              </w:rPr>
              <w:t xml:space="preserve">Podcast</w:t>
            </w:r>
          </w:p>
        </w:tc>
        <w:tc>
          <w:tcPr>
            <w:tcW w:type="dxa" w:w="3300"/>
            <w:shd w:fill="F2F2F2" w:val="clear"/>
          </w:tcPr>
          <w:p>
            <w:pPr>
              <w:spacing w:after="40"/>
            </w:pPr>
            <w:r>
              <w:rPr>
                <w:sz w:val="19"/>
                <w:szCs w:val="19"/>
              </w:rPr>
              <w:t xml:space="preserve">icp_* fields, webinar_script, plus a supplied podcast transcript source (external document).</w:t>
            </w:r>
          </w:p>
        </w:tc>
        <w:tc>
          <w:tcPr>
            <w:tcW w:type="dxa" w:w="3160"/>
            <w:shd w:fill="F2F2F2" w:val="clear"/>
          </w:tcPr>
          <w:p>
            <w:pPr>
              <w:spacing w:after="40"/>
            </w:pPr>
            <w:r>
              <w:rPr>
                <w:sz w:val="19"/>
                <w:szCs w:val="19"/>
              </w:rPr>
              <w:t xml:space="preserve">podcast_intelligence, podcast_ad_copy_notes</w:t>
            </w:r>
          </w:p>
        </w:tc>
      </w:tr>
    </w:tbl>
    <w:p>
      <w:pPr>
        <w:spacing w:after="140"/>
      </w:pPr>
      <w:r>
        <w:rPr>
          <w:sz w:val="22"/>
          <w:szCs w:val="22"/>
        </w:rPr>
        <w:t xml:space="preserve">Cross-cutting rule: content that CRO marks as locked in Stage 2 (cro_locked_sections) remains locked through every later stage that touches page copy — Pillar Page, SEO-focused Pillar Page, and Funnel. Context keys are additive and never overwritten; revising the ICP means re-running Stage 1, which cascades a re-approval requirement down the chain. External source documents (Competitor Analysis, CRO Framework, competitor webinar transcripts, podcast transcripts) are supplied inputs attached to a stage's call — they are never generated or altered by the system itself.</w:t>
      </w:r>
    </w:p>
    <w:p>
      <w:pPr>
        <w:pStyle w:val="Heading1"/>
        <w:spacing w:after="140" w:before="320"/>
      </w:pPr>
      <w:r>
        <w:t xml:space="preserve">7. System Architecture Overview</w:t>
      </w:r>
    </w:p>
    <w:p>
      <w:pPr>
        <w:spacing w:after="140"/>
      </w:pPr>
      <w:r>
        <w:rPr>
          <w:sz w:val="22"/>
          <w:szCs w:val="22"/>
        </w:rPr>
        <w:t xml:space="preserve">The application implements the 5-Layer Software Engine defined for this project:</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3000"/>
        <w:gridCol w:w="3960"/>
      </w:tblGrid>
      <w:tr>
        <w:trPr>
          <w:tblHeader/>
        </w:trPr>
        <w:tc>
          <w:tcPr>
            <w:tcW w:type="dxa" w:w="2400"/>
            <w:shd w:fill="2F5D62" w:val="clear"/>
          </w:tcPr>
          <w:p>
            <w:r>
              <w:rPr>
                <w:b/>
                <w:bCs/>
                <w:color w:val="FFFFFF"/>
                <w:sz w:val="19"/>
                <w:szCs w:val="19"/>
              </w:rPr>
              <w:t xml:space="preserve">Layer</w:t>
            </w:r>
          </w:p>
        </w:tc>
        <w:tc>
          <w:tcPr>
            <w:tcW w:type="dxa" w:w="3000"/>
            <w:shd w:fill="2F5D62" w:val="clear"/>
          </w:tcPr>
          <w:p>
            <w:r>
              <w:rPr>
                <w:b/>
                <w:bCs/>
                <w:color w:val="FFFFFF"/>
                <w:sz w:val="19"/>
                <w:szCs w:val="19"/>
              </w:rPr>
              <w:t xml:space="preserve">Purpose</w:t>
            </w:r>
          </w:p>
        </w:tc>
        <w:tc>
          <w:tcPr>
            <w:tcW w:type="dxa" w:w="3960"/>
            <w:shd w:fill="2F5D62" w:val="clear"/>
          </w:tcPr>
          <w:p>
            <w:r>
              <w:rPr>
                <w:b/>
                <w:bCs/>
                <w:color w:val="FFFFFF"/>
                <w:sz w:val="19"/>
                <w:szCs w:val="19"/>
              </w:rPr>
              <w:t xml:space="preserve">Key components</w:t>
            </w:r>
          </w:p>
        </w:tc>
      </w:tr>
      <w:tr>
        <w:tc>
          <w:tcPr>
            <w:tcW w:type="dxa" w:w="2400"/>
          </w:tcPr>
          <w:p>
            <w:pPr>
              <w:spacing w:after="40"/>
            </w:pPr>
            <w:r>
              <w:rPr>
                <w:sz w:val="19"/>
                <w:szCs w:val="19"/>
              </w:rPr>
              <w:t xml:space="preserve">L1 — Client Context &amp; Ingestion</w:t>
            </w:r>
          </w:p>
        </w:tc>
        <w:tc>
          <w:tcPr>
            <w:tcW w:type="dxa" w:w="3000"/>
          </w:tcPr>
          <w:p>
            <w:pPr>
              <w:spacing w:after="40"/>
            </w:pPr>
            <w:r>
              <w:rPr>
                <w:sz w:val="19"/>
                <w:szCs w:val="19"/>
              </w:rPr>
              <w:t xml:space="preserve">Onboard a client and gather grounding facts.</w:t>
            </w:r>
          </w:p>
        </w:tc>
        <w:tc>
          <w:tcPr>
            <w:tcW w:type="dxa" w:w="3960"/>
          </w:tcPr>
          <w:p>
            <w:pPr>
              <w:spacing w:after="40"/>
            </w:pPr>
            <w:r>
              <w:rPr>
                <w:sz w:val="19"/>
                <w:szCs w:val="19"/>
              </w:rPr>
              <w:t xml:space="preserve">Site scraper, ICP extractor, competitor intelligence</w:t>
            </w:r>
          </w:p>
        </w:tc>
      </w:tr>
      <w:tr>
        <w:tc>
          <w:tcPr>
            <w:tcW w:type="dxa" w:w="2400"/>
            <w:shd w:fill="F2F2F2" w:val="clear"/>
          </w:tcPr>
          <w:p>
            <w:pPr>
              <w:spacing w:after="40"/>
            </w:pPr>
            <w:r>
              <w:rPr>
                <w:sz w:val="19"/>
                <w:szCs w:val="19"/>
              </w:rPr>
              <w:t xml:space="preserve">L2 — DAG Pipeline Orchestrator</w:t>
            </w:r>
          </w:p>
        </w:tc>
        <w:tc>
          <w:tcPr>
            <w:tcW w:type="dxa" w:w="3000"/>
            <w:shd w:fill="F2F2F2" w:val="clear"/>
          </w:tcPr>
          <w:p>
            <w:pPr>
              <w:spacing w:after="40"/>
            </w:pPr>
            <w:r>
              <w:rPr>
                <w:sz w:val="19"/>
                <w:szCs w:val="19"/>
              </w:rPr>
              <w:t xml:space="preserve">Sequence execution and enforce dependencies.</w:t>
            </w:r>
          </w:p>
        </w:tc>
        <w:tc>
          <w:tcPr>
            <w:tcW w:type="dxa" w:w="3960"/>
            <w:shd w:fill="F2F2F2" w:val="clear"/>
          </w:tcPr>
          <w:p>
            <w:pPr>
              <w:spacing w:after="40"/>
            </w:pPr>
            <w:r>
              <w:rPr>
                <w:sz w:val="19"/>
                <w:szCs w:val="19"/>
              </w:rPr>
              <w:t xml:space="preserve">Prerequisite enforcer, execution graph, state/artifact store</w:t>
            </w:r>
          </w:p>
        </w:tc>
      </w:tr>
      <w:tr>
        <w:tc>
          <w:tcPr>
            <w:tcW w:type="dxa" w:w="2400"/>
          </w:tcPr>
          <w:p>
            <w:pPr>
              <w:spacing w:after="40"/>
            </w:pPr>
            <w:r>
              <w:rPr>
                <w:sz w:val="19"/>
                <w:szCs w:val="19"/>
              </w:rPr>
              <w:t xml:space="preserve">L3 — Multi-Agent Generation Engine</w:t>
            </w:r>
          </w:p>
        </w:tc>
        <w:tc>
          <w:tcPr>
            <w:tcW w:type="dxa" w:w="3000"/>
          </w:tcPr>
          <w:p>
            <w:pPr>
              <w:spacing w:after="40"/>
            </w:pPr>
            <w:r>
              <w:rPr>
                <w:sz w:val="19"/>
                <w:szCs w:val="19"/>
              </w:rPr>
              <w:t xml:space="preserve">Generate each asset from its prompt recipe.</w:t>
            </w:r>
          </w:p>
        </w:tc>
        <w:tc>
          <w:tcPr>
            <w:tcW w:type="dxa" w:w="3960"/>
          </w:tcPr>
          <w:p>
            <w:pPr>
              <w:spacing w:after="40"/>
            </w:pPr>
            <w:r>
              <w:rPr>
                <w:sz w:val="19"/>
                <w:szCs w:val="19"/>
              </w:rPr>
              <w:t xml:space="preserve">Prompt recipe library, schema guard, Claude-based agents</w:t>
            </w:r>
          </w:p>
        </w:tc>
      </w:tr>
      <w:tr>
        <w:tc>
          <w:tcPr>
            <w:tcW w:type="dxa" w:w="2400"/>
            <w:shd w:fill="F2F2F2" w:val="clear"/>
          </w:tcPr>
          <w:p>
            <w:pPr>
              <w:spacing w:after="40"/>
            </w:pPr>
            <w:r>
              <w:rPr>
                <w:sz w:val="19"/>
                <w:szCs w:val="19"/>
              </w:rPr>
              <w:t xml:space="preserve">L4 — HITL Strategist Dashboard</w:t>
            </w:r>
          </w:p>
        </w:tc>
        <w:tc>
          <w:tcPr>
            <w:tcW w:type="dxa" w:w="3000"/>
            <w:shd w:fill="F2F2F2" w:val="clear"/>
          </w:tcPr>
          <w:p>
            <w:pPr>
              <w:spacing w:after="40"/>
            </w:pPr>
            <w:r>
              <w:rPr>
                <w:sz w:val="19"/>
                <w:szCs w:val="19"/>
              </w:rPr>
              <w:t xml:space="preserve">Human review and approval gate.</w:t>
            </w:r>
          </w:p>
        </w:tc>
        <w:tc>
          <w:tcPr>
            <w:tcW w:type="dxa" w:w="3960"/>
            <w:shd w:fill="F2F2F2" w:val="clear"/>
          </w:tcPr>
          <w:p>
            <w:pPr>
              <w:spacing w:after="40"/>
            </w:pPr>
            <w:r>
              <w:rPr>
                <w:sz w:val="19"/>
                <w:szCs w:val="19"/>
              </w:rPr>
              <w:t xml:space="preserve">Draft inspector, inline editor / re-prompt, gatekeeper approval</w:t>
            </w:r>
          </w:p>
        </w:tc>
      </w:tr>
      <w:tr>
        <w:tc>
          <w:tcPr>
            <w:tcW w:type="dxa" w:w="2400"/>
          </w:tcPr>
          <w:p>
            <w:pPr>
              <w:spacing w:after="40"/>
            </w:pPr>
            <w:r>
              <w:rPr>
                <w:sz w:val="19"/>
                <w:szCs w:val="19"/>
              </w:rPr>
              <w:t xml:space="preserve">L5 — Production Asset Renderer</w:t>
            </w:r>
          </w:p>
        </w:tc>
        <w:tc>
          <w:tcPr>
            <w:tcW w:type="dxa" w:w="3000"/>
          </w:tcPr>
          <w:p>
            <w:pPr>
              <w:spacing w:after="40"/>
            </w:pPr>
            <w:r>
              <w:rPr>
                <w:sz w:val="19"/>
                <w:szCs w:val="19"/>
              </w:rPr>
              <w:t xml:space="preserve">Convert approved output into deliverables.</w:t>
            </w:r>
          </w:p>
        </w:tc>
        <w:tc>
          <w:tcPr>
            <w:tcW w:type="dxa" w:w="3960"/>
          </w:tcPr>
          <w:p>
            <w:pPr>
              <w:spacing w:after="40"/>
            </w:pPr>
            <w:r>
              <w:rPr>
                <w:sz w:val="19"/>
                <w:szCs w:val="19"/>
              </w:rPr>
              <w:t xml:space="preserve">Web asset renderer, automation bundle export, document renderer</w:t>
            </w:r>
          </w:p>
        </w:tc>
      </w:tr>
    </w:tbl>
    <w:p>
      <w:pPr>
        <w:pStyle w:val="Heading1"/>
        <w:spacing w:after="140" w:before="320"/>
      </w:pPr>
      <w:r>
        <w:t xml:space="preserve">8. Functional Requirements</w:t>
      </w:r>
    </w:p>
    <w:p>
      <w:pPr>
        <w:spacing w:after="100"/>
      </w:pPr>
      <w:r>
        <w:rPr>
          <w:b/>
          <w:bCs/>
          <w:sz w:val="22"/>
          <w:szCs w:val="22"/>
        </w:rPr>
        <w:t xml:space="preserve">FR1 — Orchestration — </w:t>
      </w:r>
      <w:r>
        <w:rPr>
          <w:sz w:val="22"/>
          <w:szCs w:val="22"/>
        </w:rPr>
        <w:t xml:space="preserve">The system shall parse the asset registry (YAML/JSON) including each asset's depends_on list, compute a valid topological execution order, and block execution of any stage until all of its dependencies are marked Approved.</w:t>
      </w:r>
    </w:p>
    <w:p>
      <w:pPr>
        <w:spacing w:after="100"/>
      </w:pPr>
      <w:r>
        <w:rPr>
          <w:b/>
          <w:bCs/>
          <w:sz w:val="22"/>
          <w:szCs w:val="22"/>
        </w:rPr>
        <w:t xml:space="preserve">FR2 — LLM generation — </w:t>
      </w:r>
      <w:r>
        <w:rPr>
          <w:sz w:val="22"/>
          <w:szCs w:val="22"/>
        </w:rPr>
        <w:t xml:space="preserve">The system shall assemble a stage-specific prompt using only that stage's declared upstream context, call Claude via the Messages API, and validate the response against a per-asset JSON schema before presenting it for review.</w:t>
      </w:r>
    </w:p>
    <w:p>
      <w:pPr>
        <w:spacing w:after="100"/>
      </w:pPr>
      <w:r>
        <w:rPr>
          <w:b/>
          <w:bCs/>
          <w:sz w:val="22"/>
          <w:szCs w:val="22"/>
        </w:rPr>
        <w:t xml:space="preserve">FR3 — CRO sub-pipeline — </w:t>
      </w:r>
      <w:r>
        <w:rPr>
          <w:sz w:val="22"/>
          <w:szCs w:val="22"/>
        </w:rPr>
        <w:t xml:space="preserve">The system shall execute the CRO asset as an internal 4-step sub-workflow (competitor analysis → audit → Part 1 rewrite → Part 2 draft), validating output at each sub-step.</w:t>
      </w:r>
    </w:p>
    <w:p>
      <w:pPr>
        <w:spacing w:after="100"/>
      </w:pPr>
      <w:r>
        <w:rPr>
          <w:b/>
          <w:bCs/>
          <w:sz w:val="22"/>
          <w:szCs w:val="22"/>
        </w:rPr>
        <w:t xml:space="preserve">FR4 — Pause-and-warn gate — </w:t>
      </w:r>
      <w:r>
        <w:rPr>
          <w:sz w:val="22"/>
          <w:szCs w:val="22"/>
        </w:rPr>
        <w:t xml:space="preserve">If any stage produces no valid output, the system shall halt downstream execution and surface a clear warning. No failed or partial output shall silently propagate to dependent stages.</w:t>
      </w:r>
    </w:p>
    <w:p>
      <w:pPr>
        <w:spacing w:after="100"/>
      </w:pPr>
      <w:r>
        <w:rPr>
          <w:b/>
          <w:bCs/>
          <w:sz w:val="22"/>
          <w:szCs w:val="22"/>
        </w:rPr>
        <w:t xml:space="preserve">FR5 — HITL review — </w:t>
      </w:r>
      <w:r>
        <w:rPr>
          <w:sz w:val="22"/>
          <w:szCs w:val="22"/>
        </w:rPr>
        <w:t xml:space="preserve">The system shall present each generated draft in the chat UI with Approve, Edit, and Reject actions. Rejecting a draft shall route it, together with the strategist's notes, back to the LLM executor for regeneration.</w:t>
      </w:r>
    </w:p>
    <w:p>
      <w:pPr>
        <w:spacing w:after="100"/>
      </w:pPr>
      <w:r>
        <w:rPr>
          <w:b/>
          <w:bCs/>
          <w:sz w:val="22"/>
          <w:szCs w:val="22"/>
        </w:rPr>
        <w:t xml:space="preserve">FR6 — Context store — </w:t>
      </w:r>
      <w:r>
        <w:rPr>
          <w:sz w:val="22"/>
          <w:szCs w:val="22"/>
        </w:rPr>
        <w:t xml:space="preserve">On approval, the system shall persist the stage's structured output as a permanent fact, made available to every stage that declares it as a dependency.</w:t>
      </w:r>
    </w:p>
    <w:p>
      <w:pPr>
        <w:spacing w:after="100"/>
      </w:pPr>
      <w:r>
        <w:rPr>
          <w:b/>
          <w:bCs/>
          <w:sz w:val="22"/>
          <w:szCs w:val="22"/>
        </w:rPr>
        <w:t xml:space="preserve">FR7 — Resumability — </w:t>
      </w:r>
      <w:r>
        <w:rPr>
          <w:sz w:val="22"/>
          <w:szCs w:val="22"/>
        </w:rPr>
        <w:t xml:space="preserve">The system shall persist run state so that an interrupted run can resume from the last incomplete stage without re-running already-approved stages.</w:t>
      </w:r>
    </w:p>
    <w:p>
      <w:pPr>
        <w:spacing w:after="100"/>
      </w:pPr>
      <w:r>
        <w:rPr>
          <w:b/>
          <w:bCs/>
          <w:sz w:val="22"/>
          <w:szCs w:val="22"/>
        </w:rPr>
        <w:t xml:space="preserve">FR8 — Rendering &amp; export — </w:t>
      </w:r>
      <w:r>
        <w:rPr>
          <w:sz w:val="22"/>
          <w:szCs w:val="22"/>
        </w:rPr>
        <w:t xml:space="preserve">On completion of all approved stages, the system shall render final deliverables in the required formats (Markdown, HTML, Word) and upload them to the connected SharePoint location, or an alternative such as Google Drive/OneDrive.</w:t>
      </w:r>
    </w:p>
    <w:p>
      <w:pPr>
        <w:spacing w:after="100"/>
      </w:pPr>
      <w:r>
        <w:rPr>
          <w:b/>
          <w:bCs/>
          <w:sz w:val="22"/>
          <w:szCs w:val="22"/>
        </w:rPr>
        <w:t xml:space="preserve">FR9 — Audit trail — </w:t>
      </w:r>
      <w:r>
        <w:rPr>
          <w:sz w:val="22"/>
          <w:szCs w:val="22"/>
        </w:rPr>
        <w:t xml:space="preserve">The system shall log every approval or rejection decision with a timestamp, reviewer identity, and any edits made.</w:t>
      </w:r>
    </w:p>
    <w:p>
      <w:pPr>
        <w:pStyle w:val="Heading1"/>
        <w:spacing w:after="140" w:before="320"/>
      </w:pPr>
      <w:r>
        <w:t xml:space="preserve">9. UI/UX Requirements</w:t>
      </w:r>
    </w:p>
    <w:p>
      <w:pPr>
        <w:pStyle w:val="ListParagraph"/>
        <w:numPr>
          <w:ilvl w:val="0"/>
          <w:numId w:val="2"/>
        </w:numPr>
        <w:spacing w:after="60"/>
      </w:pPr>
      <w:r>
        <w:rPr>
          <w:sz w:val="22"/>
          <w:szCs w:val="22"/>
        </w:rPr>
        <w:t xml:space="preserve">Chat-style layout: a stage timeline/sidebar alongside a main panel that renders the current draft as a message.</w:t>
      </w:r>
    </w:p>
    <w:p>
      <w:pPr>
        <w:pStyle w:val="ListParagraph"/>
        <w:numPr>
          <w:ilvl w:val="0"/>
          <w:numId w:val="2"/>
        </w:numPr>
        <w:spacing w:after="60"/>
      </w:pPr>
      <w:r>
        <w:rPr>
          <w:sz w:val="22"/>
          <w:szCs w:val="22"/>
        </w:rPr>
        <w:t xml:space="preserve">Each draft message includes the stage name, a preview of the generated content, and Approve / Edit / Regenerate controls.</w:t>
      </w:r>
    </w:p>
    <w:p>
      <w:pPr>
        <w:pStyle w:val="ListParagraph"/>
        <w:numPr>
          <w:ilvl w:val="0"/>
          <w:numId w:val="2"/>
        </w:numPr>
        <w:spacing w:after="60"/>
      </w:pPr>
      <w:r>
        <w:rPr>
          <w:sz w:val="22"/>
          <w:szCs w:val="22"/>
        </w:rPr>
        <w:t xml:space="preserve">Free-text input is scoped to feedback notes on a rejected draft — it is not a general chat input.</w:t>
      </w:r>
    </w:p>
    <w:p>
      <w:pPr>
        <w:pStyle w:val="ListParagraph"/>
        <w:numPr>
          <w:ilvl w:val="0"/>
          <w:numId w:val="2"/>
        </w:numPr>
        <w:spacing w:after="60"/>
      </w:pPr>
      <w:r>
        <w:rPr>
          <w:sz w:val="22"/>
          <w:szCs w:val="22"/>
        </w:rPr>
        <w:t xml:space="preserve">Visual status indicators per stage: Pending, In Progress, Needs Review, Approved, Failed.</w:t>
      </w:r>
    </w:p>
    <w:p>
      <w:pPr>
        <w:pStyle w:val="ListParagraph"/>
        <w:numPr>
          <w:ilvl w:val="0"/>
          <w:numId w:val="2"/>
        </w:numPr>
        <w:spacing w:after="60"/>
      </w:pPr>
      <w:r>
        <w:rPr>
          <w:sz w:val="22"/>
          <w:szCs w:val="22"/>
        </w:rPr>
        <w:t xml:space="preserve">A clearly visible system banner for pause-and-warn states that blocks progress until the issue is resolved.</w:t>
      </w:r>
    </w:p>
    <w:p>
      <w:pPr>
        <w:pStyle w:val="Heading1"/>
        <w:spacing w:after="140" w:before="320"/>
      </w:pPr>
      <w:r>
        <w:t xml:space="preserve">10. Data &amp; Storage Requirements</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3600"/>
        <w:gridCol w:w="1800"/>
        <w:gridCol w:w="3960"/>
      </w:tblGrid>
      <w:tr>
        <w:trPr>
          <w:tblHeader/>
        </w:trPr>
        <w:tc>
          <w:tcPr>
            <w:tcW w:type="dxa" w:w="3600"/>
            <w:shd w:fill="2F5D62" w:val="clear"/>
          </w:tcPr>
          <w:p>
            <w:r>
              <w:rPr>
                <w:b/>
                <w:bCs/>
                <w:color w:val="FFFFFF"/>
                <w:sz w:val="19"/>
                <w:szCs w:val="19"/>
              </w:rPr>
              <w:t xml:space="preserve">Data</w:t>
            </w:r>
          </w:p>
        </w:tc>
        <w:tc>
          <w:tcPr>
            <w:tcW w:type="dxa" w:w="1800"/>
            <w:shd w:fill="2F5D62" w:val="clear"/>
          </w:tcPr>
          <w:p>
            <w:r>
              <w:rPr>
                <w:b/>
                <w:bCs/>
                <w:color w:val="FFFFFF"/>
                <w:sz w:val="19"/>
                <w:szCs w:val="19"/>
              </w:rPr>
              <w:t xml:space="preserve">Tier</w:t>
            </w:r>
          </w:p>
        </w:tc>
        <w:tc>
          <w:tcPr>
            <w:tcW w:type="dxa" w:w="3960"/>
            <w:shd w:fill="2F5D62" w:val="clear"/>
          </w:tcPr>
          <w:p>
            <w:r>
              <w:rPr>
                <w:b/>
                <w:bCs/>
                <w:color w:val="FFFFFF"/>
                <w:sz w:val="19"/>
                <w:szCs w:val="19"/>
              </w:rPr>
              <w:t xml:space="preserve">Storage</w:t>
            </w:r>
          </w:p>
        </w:tc>
      </w:tr>
      <w:tr>
        <w:tc>
          <w:tcPr>
            <w:tcW w:type="dxa" w:w="3600"/>
          </w:tcPr>
          <w:p>
            <w:pPr>
              <w:spacing w:after="40"/>
            </w:pPr>
            <w:r>
              <w:rPr>
                <w:sz w:val="19"/>
                <w:szCs w:val="19"/>
              </w:rPr>
              <w:t xml:space="preserve">Client profile object</w:t>
            </w:r>
          </w:p>
        </w:tc>
        <w:tc>
          <w:tcPr>
            <w:tcW w:type="dxa" w:w="1800"/>
          </w:tcPr>
          <w:p>
            <w:pPr>
              <w:spacing w:after="40"/>
            </w:pPr>
            <w:r>
              <w:rPr>
                <w:sz w:val="19"/>
                <w:szCs w:val="19"/>
              </w:rPr>
              <w:t xml:space="preserve">Permanent</w:t>
            </w:r>
          </w:p>
        </w:tc>
        <w:tc>
          <w:tcPr>
            <w:tcW w:type="dxa" w:w="3960"/>
          </w:tcPr>
          <w:p>
            <w:pPr>
              <w:spacing w:after="40"/>
            </w:pPr>
            <w:r>
              <w:rPr>
                <w:sz w:val="19"/>
                <w:szCs w:val="19"/>
              </w:rPr>
              <w:t xml:space="preserve">Postgres</w:t>
            </w:r>
          </w:p>
        </w:tc>
      </w:tr>
      <w:tr>
        <w:tc>
          <w:tcPr>
            <w:tcW w:type="dxa" w:w="3600"/>
            <w:shd w:fill="F2F2F2" w:val="clear"/>
          </w:tcPr>
          <w:p>
            <w:pPr>
              <w:spacing w:after="40"/>
            </w:pPr>
            <w:r>
              <w:rPr>
                <w:sz w:val="19"/>
                <w:szCs w:val="19"/>
              </w:rPr>
              <w:t xml:space="preserve">Approved stage outputs (structured JSON)</w:t>
            </w:r>
          </w:p>
        </w:tc>
        <w:tc>
          <w:tcPr>
            <w:tcW w:type="dxa" w:w="1800"/>
            <w:shd w:fill="F2F2F2" w:val="clear"/>
          </w:tcPr>
          <w:p>
            <w:pPr>
              <w:spacing w:after="40"/>
            </w:pPr>
            <w:r>
              <w:rPr>
                <w:sz w:val="19"/>
                <w:szCs w:val="19"/>
              </w:rPr>
              <w:t xml:space="preserve">Permanent</w:t>
            </w:r>
          </w:p>
        </w:tc>
        <w:tc>
          <w:tcPr>
            <w:tcW w:type="dxa" w:w="3960"/>
            <w:shd w:fill="F2F2F2" w:val="clear"/>
          </w:tcPr>
          <w:p>
            <w:pPr>
              <w:spacing w:after="40"/>
            </w:pPr>
            <w:r>
              <w:rPr>
                <w:sz w:val="19"/>
                <w:szCs w:val="19"/>
              </w:rPr>
              <w:t xml:space="preserve">Postgres</w:t>
            </w:r>
          </w:p>
        </w:tc>
      </w:tr>
      <w:tr>
        <w:tc>
          <w:tcPr>
            <w:tcW w:type="dxa" w:w="3600"/>
          </w:tcPr>
          <w:p>
            <w:pPr>
              <w:spacing w:after="40"/>
            </w:pPr>
            <w:r>
              <w:rPr>
                <w:sz w:val="19"/>
                <w:szCs w:val="19"/>
              </w:rPr>
              <w:t xml:space="preserve">Execution graph / run state</w:t>
            </w:r>
          </w:p>
        </w:tc>
        <w:tc>
          <w:tcPr>
            <w:tcW w:type="dxa" w:w="1800"/>
          </w:tcPr>
          <w:p>
            <w:pPr>
              <w:spacing w:after="40"/>
            </w:pPr>
            <w:r>
              <w:rPr>
                <w:sz w:val="19"/>
                <w:szCs w:val="19"/>
              </w:rPr>
              <w:t xml:space="preserve">Permanent</w:t>
            </w:r>
          </w:p>
        </w:tc>
        <w:tc>
          <w:tcPr>
            <w:tcW w:type="dxa" w:w="3960"/>
          </w:tcPr>
          <w:p>
            <w:pPr>
              <w:spacing w:after="40"/>
            </w:pPr>
            <w:r>
              <w:rPr>
                <w:sz w:val="19"/>
                <w:szCs w:val="19"/>
              </w:rPr>
              <w:t xml:space="preserve">Postgres</w:t>
            </w:r>
          </w:p>
        </w:tc>
      </w:tr>
      <w:tr>
        <w:tc>
          <w:tcPr>
            <w:tcW w:type="dxa" w:w="3600"/>
            <w:shd w:fill="F2F2F2" w:val="clear"/>
          </w:tcPr>
          <w:p>
            <w:pPr>
              <w:spacing w:after="40"/>
            </w:pPr>
            <w:r>
              <w:rPr>
                <w:sz w:val="19"/>
                <w:szCs w:val="19"/>
              </w:rPr>
              <w:t xml:space="preserve">Approval &amp; edit audit trail</w:t>
            </w:r>
          </w:p>
        </w:tc>
        <w:tc>
          <w:tcPr>
            <w:tcW w:type="dxa" w:w="1800"/>
            <w:shd w:fill="F2F2F2" w:val="clear"/>
          </w:tcPr>
          <w:p>
            <w:pPr>
              <w:spacing w:after="40"/>
            </w:pPr>
            <w:r>
              <w:rPr>
                <w:sz w:val="19"/>
                <w:szCs w:val="19"/>
              </w:rPr>
              <w:t xml:space="preserve">Permanent</w:t>
            </w:r>
          </w:p>
        </w:tc>
        <w:tc>
          <w:tcPr>
            <w:tcW w:type="dxa" w:w="3960"/>
            <w:shd w:fill="F2F2F2" w:val="clear"/>
          </w:tcPr>
          <w:p>
            <w:pPr>
              <w:spacing w:after="40"/>
            </w:pPr>
            <w:r>
              <w:rPr>
                <w:sz w:val="19"/>
                <w:szCs w:val="19"/>
              </w:rPr>
              <w:t xml:space="preserve">Postgres</w:t>
            </w:r>
          </w:p>
        </w:tc>
      </w:tr>
      <w:tr>
        <w:tc>
          <w:tcPr>
            <w:tcW w:type="dxa" w:w="3600"/>
          </w:tcPr>
          <w:p>
            <w:pPr>
              <w:spacing w:after="40"/>
            </w:pPr>
            <w:r>
              <w:rPr>
                <w:sz w:val="19"/>
                <w:szCs w:val="19"/>
              </w:rPr>
              <w:t xml:space="preserve">Versioned prompt recipe library</w:t>
            </w:r>
          </w:p>
        </w:tc>
        <w:tc>
          <w:tcPr>
            <w:tcW w:type="dxa" w:w="1800"/>
          </w:tcPr>
          <w:p>
            <w:pPr>
              <w:spacing w:after="40"/>
            </w:pPr>
            <w:r>
              <w:rPr>
                <w:sz w:val="19"/>
                <w:szCs w:val="19"/>
              </w:rPr>
              <w:t xml:space="preserve">Permanent</w:t>
            </w:r>
          </w:p>
        </w:tc>
        <w:tc>
          <w:tcPr>
            <w:tcW w:type="dxa" w:w="3960"/>
          </w:tcPr>
          <w:p>
            <w:pPr>
              <w:spacing w:after="40"/>
            </w:pPr>
            <w:r>
              <w:rPr>
                <w:sz w:val="19"/>
                <w:szCs w:val="19"/>
              </w:rPr>
              <w:t xml:space="preserve">Postgres / version control</w:t>
            </w:r>
          </w:p>
        </w:tc>
      </w:tr>
      <w:tr>
        <w:tc>
          <w:tcPr>
            <w:tcW w:type="dxa" w:w="3600"/>
            <w:shd w:fill="F2F2F2" w:val="clear"/>
          </w:tcPr>
          <w:p>
            <w:pPr>
              <w:spacing w:after="40"/>
            </w:pPr>
            <w:r>
              <w:rPr>
                <w:sz w:val="19"/>
                <w:szCs w:val="19"/>
              </w:rPr>
              <w:t xml:space="preserve">Final rendered deliverables</w:t>
            </w:r>
          </w:p>
        </w:tc>
        <w:tc>
          <w:tcPr>
            <w:tcW w:type="dxa" w:w="1800"/>
            <w:shd w:fill="F2F2F2" w:val="clear"/>
          </w:tcPr>
          <w:p>
            <w:pPr>
              <w:spacing w:after="40"/>
            </w:pPr>
            <w:r>
              <w:rPr>
                <w:sz w:val="19"/>
                <w:szCs w:val="19"/>
              </w:rPr>
              <w:t xml:space="preserve">Permanent</w:t>
            </w:r>
          </w:p>
        </w:tc>
        <w:tc>
          <w:tcPr>
            <w:tcW w:type="dxa" w:w="3960"/>
            <w:shd w:fill="F2F2F2" w:val="clear"/>
          </w:tcPr>
          <w:p>
            <w:pPr>
              <w:spacing w:after="40"/>
            </w:pPr>
            <w:r>
              <w:rPr>
                <w:sz w:val="19"/>
                <w:szCs w:val="19"/>
              </w:rPr>
              <w:t xml:space="preserve">SharePoint (Microsoft's cloud document library), or an alternative such as Google Drive/OneDrive</w:t>
            </w:r>
          </w:p>
        </w:tc>
      </w:tr>
      <w:tr>
        <w:tc>
          <w:tcPr>
            <w:tcW w:type="dxa" w:w="3600"/>
          </w:tcPr>
          <w:p>
            <w:pPr>
              <w:spacing w:after="40"/>
            </w:pPr>
            <w:r>
              <w:rPr>
                <w:sz w:val="19"/>
                <w:szCs w:val="19"/>
              </w:rPr>
              <w:t xml:space="preserve">In-flight draft tokens (pre-approval)</w:t>
            </w:r>
          </w:p>
        </w:tc>
        <w:tc>
          <w:tcPr>
            <w:tcW w:type="dxa" w:w="1800"/>
          </w:tcPr>
          <w:p>
            <w:pPr>
              <w:spacing w:after="40"/>
            </w:pPr>
            <w:r>
              <w:rPr>
                <w:sz w:val="19"/>
                <w:szCs w:val="19"/>
              </w:rPr>
              <w:t xml:space="preserve">Temporary</w:t>
            </w:r>
          </w:p>
        </w:tc>
        <w:tc>
          <w:tcPr>
            <w:tcW w:type="dxa" w:w="3960"/>
          </w:tcPr>
          <w:p>
            <w:pPr>
              <w:spacing w:after="40"/>
            </w:pPr>
            <w:r>
              <w:rPr>
                <w:sz w:val="19"/>
                <w:szCs w:val="19"/>
              </w:rPr>
              <w:t xml:space="preserve">Redis, short TTL</w:t>
            </w:r>
          </w:p>
        </w:tc>
      </w:tr>
      <w:tr>
        <w:tc>
          <w:tcPr>
            <w:tcW w:type="dxa" w:w="3600"/>
            <w:shd w:fill="F2F2F2" w:val="clear"/>
          </w:tcPr>
          <w:p>
            <w:pPr>
              <w:spacing w:after="40"/>
            </w:pPr>
            <w:r>
              <w:rPr>
                <w:sz w:val="19"/>
                <w:szCs w:val="19"/>
              </w:rPr>
              <w:t xml:space="preserve">Raw scraped HTML (pre-extraction)</w:t>
            </w:r>
          </w:p>
        </w:tc>
        <w:tc>
          <w:tcPr>
            <w:tcW w:type="dxa" w:w="1800"/>
            <w:shd w:fill="F2F2F2" w:val="clear"/>
          </w:tcPr>
          <w:p>
            <w:pPr>
              <w:spacing w:after="40"/>
            </w:pPr>
            <w:r>
              <w:rPr>
                <w:sz w:val="19"/>
                <w:szCs w:val="19"/>
              </w:rPr>
              <w:t xml:space="preserve">Temporary</w:t>
            </w:r>
          </w:p>
        </w:tc>
        <w:tc>
          <w:tcPr>
            <w:tcW w:type="dxa" w:w="3960"/>
            <w:shd w:fill="F2F2F2" w:val="clear"/>
          </w:tcPr>
          <w:p>
            <w:pPr>
              <w:spacing w:after="40"/>
            </w:pPr>
            <w:r>
              <w:rPr>
                <w:sz w:val="19"/>
                <w:szCs w:val="19"/>
              </w:rPr>
              <w:t xml:space="preserve">Redis / cache, short TTL</w:t>
            </w:r>
          </w:p>
        </w:tc>
      </w:tr>
      <w:tr>
        <w:tc>
          <w:tcPr>
            <w:tcW w:type="dxa" w:w="3600"/>
          </w:tcPr>
          <w:p>
            <w:pPr>
              <w:spacing w:after="40"/>
            </w:pPr>
            <w:r>
              <w:rPr>
                <w:sz w:val="19"/>
                <w:szCs w:val="19"/>
              </w:rPr>
              <w:t xml:space="preserve">Task queue state</w:t>
            </w:r>
          </w:p>
        </w:tc>
        <w:tc>
          <w:tcPr>
            <w:tcW w:type="dxa" w:w="1800"/>
          </w:tcPr>
          <w:p>
            <w:pPr>
              <w:spacing w:after="40"/>
            </w:pPr>
            <w:r>
              <w:rPr>
                <w:sz w:val="19"/>
                <w:szCs w:val="19"/>
              </w:rPr>
              <w:t xml:space="preserve">Temporary</w:t>
            </w:r>
          </w:p>
        </w:tc>
        <w:tc>
          <w:tcPr>
            <w:tcW w:type="dxa" w:w="3960"/>
          </w:tcPr>
          <w:p>
            <w:pPr>
              <w:spacing w:after="40"/>
            </w:pPr>
            <w:r>
              <w:rPr>
                <w:sz w:val="19"/>
                <w:szCs w:val="19"/>
              </w:rPr>
              <w:t xml:space="preserve">Redis</w:t>
            </w:r>
          </w:p>
        </w:tc>
      </w:tr>
    </w:tbl>
    <w:p>
      <w:pPr>
        <w:pStyle w:val="Heading1"/>
        <w:spacing w:after="140" w:before="320"/>
      </w:pPr>
      <w:r>
        <w:t xml:space="preserve">11. Non-Functional Requirements</w:t>
      </w:r>
    </w:p>
    <w:p>
      <w:pPr>
        <w:pStyle w:val="ListParagraph"/>
        <w:numPr>
          <w:ilvl w:val="0"/>
          <w:numId w:val="2"/>
        </w:numPr>
        <w:spacing w:after="60"/>
      </w:pPr>
      <w:r>
        <w:rPr>
          <w:sz w:val="22"/>
          <w:szCs w:val="22"/>
        </w:rPr>
        <w:t xml:space="preserve">Reliability — no silent failures; every failure state is visible to the reviewer.</w:t>
      </w:r>
    </w:p>
    <w:p>
      <w:pPr>
        <w:pStyle w:val="ListParagraph"/>
        <w:numPr>
          <w:ilvl w:val="0"/>
          <w:numId w:val="2"/>
        </w:numPr>
        <w:spacing w:after="60"/>
      </w:pPr>
      <w:r>
        <w:rPr>
          <w:sz w:val="22"/>
          <w:szCs w:val="22"/>
        </w:rPr>
        <w:t xml:space="preserve">Auditability — full approval/decision history is retained indefinitely.</w:t>
      </w:r>
    </w:p>
    <w:p>
      <w:pPr>
        <w:pStyle w:val="ListParagraph"/>
        <w:numPr>
          <w:ilvl w:val="0"/>
          <w:numId w:val="2"/>
        </w:numPr>
        <w:spacing w:after="60"/>
      </w:pPr>
      <w:r>
        <w:rPr>
          <w:sz w:val="22"/>
          <w:szCs w:val="22"/>
        </w:rPr>
        <w:t xml:space="preserve">Reproducibility — prompt template versioning is tied to every generated output.</w:t>
      </w:r>
    </w:p>
    <w:p>
      <w:pPr>
        <w:pStyle w:val="ListParagraph"/>
        <w:numPr>
          <w:ilvl w:val="0"/>
          <w:numId w:val="2"/>
        </w:numPr>
        <w:spacing w:after="60"/>
      </w:pPr>
      <w:r>
        <w:rPr>
          <w:sz w:val="22"/>
          <w:szCs w:val="22"/>
        </w:rPr>
        <w:t xml:space="preserve">Security — access to the document store (SharePoint via Microsoft Graph, or Google Drive/OneDrive via their own OAuth flow) is authenticated via OAuth; no credentials stored in plaintext.</w:t>
      </w:r>
    </w:p>
    <w:p>
      <w:pPr>
        <w:pStyle w:val="ListParagraph"/>
        <w:numPr>
          <w:ilvl w:val="0"/>
          <w:numId w:val="2"/>
        </w:numPr>
        <w:spacing w:after="60"/>
      </w:pPr>
      <w:r>
        <w:rPr>
          <w:sz w:val="22"/>
          <w:szCs w:val="22"/>
        </w:rPr>
        <w:t xml:space="preserve">Performance — long-running LLM calls and scraping jobs run asynchronously and never block the UI.</w:t>
      </w:r>
    </w:p>
    <w:p>
      <w:pPr>
        <w:pStyle w:val="Heading1"/>
        <w:spacing w:after="140" w:before="320"/>
      </w:pPr>
      <w:r>
        <w:t xml:space="preserve">12. Success Metrics</w:t>
      </w:r>
    </w:p>
    <w:p>
      <w:pPr>
        <w:pStyle w:val="ListParagraph"/>
        <w:numPr>
          <w:ilvl w:val="0"/>
          <w:numId w:val="2"/>
        </w:numPr>
        <w:spacing w:after="60"/>
      </w:pPr>
      <w:r>
        <w:rPr>
          <w:sz w:val="22"/>
          <w:szCs w:val="22"/>
        </w:rPr>
        <w:t xml:space="preserve">Percentage of client runs completed without a pause-and-warn halt caused by a registry or validation gap.</w:t>
      </w:r>
    </w:p>
    <w:p>
      <w:pPr>
        <w:pStyle w:val="ListParagraph"/>
        <w:numPr>
          <w:ilvl w:val="0"/>
          <w:numId w:val="2"/>
        </w:numPr>
        <w:spacing w:after="60"/>
      </w:pPr>
      <w:r>
        <w:rPr>
          <w:sz w:val="22"/>
          <w:szCs w:val="22"/>
        </w:rPr>
        <w:t xml:space="preserve">Average strategist review time per asset.</w:t>
      </w:r>
    </w:p>
    <w:p>
      <w:pPr>
        <w:pStyle w:val="ListParagraph"/>
        <w:numPr>
          <w:ilvl w:val="0"/>
          <w:numId w:val="2"/>
        </w:numPr>
        <w:spacing w:after="60"/>
      </w:pPr>
      <w:r>
        <w:rPr>
          <w:sz w:val="22"/>
          <w:szCs w:val="22"/>
        </w:rPr>
        <w:t xml:space="preserve">Total time to complete a full 16-asset run per client, versus the manual baseline.</w:t>
      </w:r>
    </w:p>
    <w:p>
      <w:pPr>
        <w:pStyle w:val="ListParagraph"/>
        <w:numPr>
          <w:ilvl w:val="0"/>
          <w:numId w:val="2"/>
        </w:numPr>
        <w:spacing w:after="60"/>
      </w:pPr>
      <w:r>
        <w:rPr>
          <w:sz w:val="22"/>
          <w:szCs w:val="22"/>
        </w:rPr>
        <w:t xml:space="preserve">Number of regenerations required per asset (a proxy for prompt recipe quality).</w:t>
      </w:r>
    </w:p>
    <w:p>
      <w:pPr>
        <w:pStyle w:val="Heading1"/>
        <w:spacing w:after="140" w:before="320"/>
      </w:pPr>
      <w:r>
        <w:t xml:space="preserve">13. Assumptions &amp; Dependencies</w:t>
      </w:r>
    </w:p>
    <w:p>
      <w:pPr>
        <w:pStyle w:val="ListParagraph"/>
        <w:numPr>
          <w:ilvl w:val="0"/>
          <w:numId w:val="2"/>
        </w:numPr>
        <w:spacing w:after="60"/>
      </w:pPr>
      <w:r>
        <w:rPr>
          <w:sz w:val="22"/>
          <w:szCs w:val="22"/>
        </w:rPr>
        <w:t xml:space="preserve">The asset registry YAML/JSON is treated as the single source of truth for depends_on relationships.</w:t>
      </w:r>
    </w:p>
    <w:p>
      <w:pPr>
        <w:pStyle w:val="ListParagraph"/>
        <w:numPr>
          <w:ilvl w:val="0"/>
          <w:numId w:val="2"/>
        </w:numPr>
        <w:spacing w:after="60"/>
      </w:pPr>
      <w:r>
        <w:rPr>
          <w:sz w:val="22"/>
          <w:szCs w:val="22"/>
        </w:rPr>
        <w:t xml:space="preserve">SharePoint (or an alternative such as Google Drive/OneDrive) remains the storage and delivery destination for final deliverables.</w:t>
      </w:r>
    </w:p>
    <w:p>
      <w:pPr>
        <w:pStyle w:val="ListParagraph"/>
        <w:numPr>
          <w:ilvl w:val="0"/>
          <w:numId w:val="2"/>
        </w:numPr>
        <w:spacing w:after="60"/>
      </w:pPr>
      <w:r>
        <w:rPr>
          <w:sz w:val="22"/>
          <w:szCs w:val="22"/>
        </w:rPr>
        <w:t xml:space="preserve">Claude (Anthropic API) is the sole LLM provider for v1.</w:t>
      </w:r>
    </w:p>
    <w:p>
      <w:pPr>
        <w:pStyle w:val="Heading1"/>
        <w:spacing w:after="140" w:before="320"/>
      </w:pPr>
      <w:r>
        <w:t xml:space="preserve">14. Risks</w:t>
      </w:r>
    </w:p>
    <w:p>
      <w:pPr>
        <w:spacing w:after="140"/>
      </w:pPr>
      <w:r>
        <w:rPr>
          <w:sz w:val="22"/>
          <w:szCs w:val="22"/>
        </w:rPr>
        <w:t xml:space="preserve">A detailed risk register with likelihood, impact, and mitigation is maintained in the companion Project Management Plan document.</w:t>
      </w:r>
    </w:p>
    <w:p>
      <w:pPr>
        <w:pStyle w:val="Heading1"/>
        <w:spacing w:after="140" w:before="320"/>
      </w:pPr>
      <w:r>
        <w:t xml:space="preserve">15. Phase 2 — Remarketing Funnel Implementation Guidance</w:t>
      </w:r>
    </w:p>
    <w:p>
      <w:pPr>
        <w:spacing w:after="140"/>
      </w:pPr>
      <w:r>
        <w:rPr>
          <w:sz w:val="22"/>
          <w:szCs w:val="22"/>
        </w:rPr>
        <w:t xml:space="preserve">Phase 2 reuses the exact same DAG engine, LLM executor, HITL review flow, and renderer built for Phase 1. No new infrastructure is required — implementing Phase 2 is a configuration and content addition, not a new build. To implement it:</w:t>
      </w:r>
    </w:p>
    <w:p>
      <w:pPr>
        <w:spacing w:after="100"/>
      </w:pPr>
      <w:r>
        <w:rPr>
          <w:b/>
          <w:bCs/>
          <w:sz w:val="22"/>
          <w:szCs w:val="22"/>
        </w:rPr>
        <w:t xml:space="preserve">1. </w:t>
      </w:r>
      <w:r>
        <w:rPr>
          <w:sz w:val="22"/>
          <w:szCs w:val="22"/>
        </w:rPr>
        <w:t xml:space="preserve">Add new entries to the asset registry for each Phase 2 asset (for example: Retargeting Pillar Page, Lost-Customer ROI Estimator, Churn-Prevention SMS Sequence), tagged with phase: 2.</w:t>
      </w:r>
    </w:p>
    <w:p>
      <w:pPr>
        <w:spacing w:after="100"/>
      </w:pPr>
      <w:r>
        <w:rPr>
          <w:b/>
          <w:bCs/>
          <w:sz w:val="22"/>
          <w:szCs w:val="22"/>
        </w:rPr>
        <w:t xml:space="preserve">2. </w:t>
      </w:r>
      <w:r>
        <w:rPr>
          <w:sz w:val="22"/>
          <w:szCs w:val="22"/>
        </w:rPr>
        <w:t xml:space="preserve">Set each Phase 2 asset's depends_on to reference the relevant approved Phase 1 outputs (for example, the Retargeting Pillar Page depends on the original ICP and Offers assets), plus a new prerequisite: confirmed retargeting pixel data for the client.</w:t>
      </w:r>
    </w:p>
    <w:p>
      <w:pPr>
        <w:spacing w:after="100"/>
      </w:pPr>
      <w:r>
        <w:rPr>
          <w:b/>
          <w:bCs/>
          <w:sz w:val="22"/>
          <w:szCs w:val="22"/>
        </w:rPr>
        <w:t xml:space="preserve">3. </w:t>
      </w:r>
      <w:r>
        <w:rPr>
          <w:sz w:val="22"/>
          <w:szCs w:val="22"/>
        </w:rPr>
        <w:t xml:space="preserve">Write and register a prompt recipe for each new Phase 2 asset in the same prompt recipe library used for Phase 1 — no executor code changes are needed.</w:t>
      </w:r>
    </w:p>
    <w:p>
      <w:pPr>
        <w:spacing w:after="100"/>
      </w:pPr>
      <w:r>
        <w:rPr>
          <w:b/>
          <w:bCs/>
          <w:sz w:val="22"/>
          <w:szCs w:val="22"/>
        </w:rPr>
        <w:t xml:space="preserve">4. </w:t>
      </w:r>
      <w:r>
        <w:rPr>
          <w:sz w:val="22"/>
          <w:szCs w:val="22"/>
        </w:rPr>
        <w:t xml:space="preserve">Add a phase-completion gate: Phase 2 stages should only enter the run queue once all Phase 1 stages for that client are approved and retargeting pixel data is confirmed present. This reuses the same dependency-check mechanism already built for Phase 1 (FR1).</w:t>
      </w:r>
    </w:p>
    <w:p>
      <w:pPr>
        <w:spacing w:after="100"/>
      </w:pPr>
      <w:r>
        <w:rPr>
          <w:b/>
          <w:bCs/>
          <w:sz w:val="22"/>
          <w:szCs w:val="22"/>
        </w:rPr>
        <w:t xml:space="preserve">5. </w:t>
      </w:r>
      <w:r>
        <w:rPr>
          <w:sz w:val="22"/>
          <w:szCs w:val="22"/>
        </w:rPr>
        <w:t xml:space="preserve">Extend the chat UI's stage timeline to continue listing Phase 2 stages after Phase 1's — the same Approve/Edit/Reject flow applies with no interface changes required.</w:t>
      </w:r>
    </w:p>
    <w:p>
      <w:pPr>
        <w:spacing w:after="100"/>
      </w:pPr>
      <w:r>
        <w:rPr>
          <w:b/>
          <w:bCs/>
          <w:sz w:val="22"/>
          <w:szCs w:val="22"/>
        </w:rPr>
        <w:t xml:space="preserve">6. </w:t>
      </w:r>
      <w:r>
        <w:rPr>
          <w:sz w:val="22"/>
          <w:szCs w:val="22"/>
        </w:rPr>
        <w:t xml:space="preserve">Render and export Phase 2 deliverables through the same renderer built for Phase 1 (Section 8, FR8).</w:t>
      </w:r>
    </w:p>
    <w:p>
      <w:pPr>
        <w:spacing w:after="140"/>
      </w:pPr>
      <w:r>
        <w:rPr>
          <w:sz w:val="22"/>
          <w:szCs w:val="22"/>
        </w:rPr>
        <w:t xml:space="preserve">Recommended sequencing: stabilize Phase 1 first; treat Phase 2 as a fast-follow release once the registry, prompt library, and pixel-data check are ready. See the companion Project Management Plan for suggested timing.</w:t>
      </w:r>
    </w:p>
    <w:p>
      <w:pPr>
        <w:pStyle w:val="Heading1"/>
        <w:spacing w:after="140" w:before="320"/>
      </w:pPr>
      <w:r>
        <w:t xml:space="preserve">16. Glossary</w:t>
      </w:r>
    </w:p>
    <w:tbl>
      <w:tblPr>
        <w:tblW w:type="dxa" w:w="9360"/>
        <w:tblBorders>
          <w:top w:val="single" w:color="999999" w:sz="2"/>
          <w:left w:val="single" w:color="999999" w:sz="2"/>
          <w:bottom w:val="single" w:color="999999" w:sz="2"/>
          <w:right w:val="single" w:color="999999" w:sz="2"/>
          <w:insideH w:val="single" w:color="CCCCCC" w:sz="2"/>
          <w:insideV w:val="single" w:color="CCCCCC" w:sz="2"/>
        </w:tblBorders>
      </w:tblPr>
      <w:tblGrid>
        <w:gridCol w:w="2200"/>
        <w:gridCol w:w="7160"/>
      </w:tblGrid>
      <w:tr>
        <w:trPr>
          <w:tblHeader/>
        </w:trPr>
        <w:tc>
          <w:tcPr>
            <w:tcW w:type="dxa" w:w="2200"/>
            <w:shd w:fill="2F5D62" w:val="clear"/>
          </w:tcPr>
          <w:p>
            <w:r>
              <w:rPr>
                <w:b/>
                <w:bCs/>
                <w:color w:val="FFFFFF"/>
                <w:sz w:val="19"/>
                <w:szCs w:val="19"/>
              </w:rPr>
              <w:t xml:space="preserve">Term</w:t>
            </w:r>
          </w:p>
        </w:tc>
        <w:tc>
          <w:tcPr>
            <w:tcW w:type="dxa" w:w="7160"/>
            <w:shd w:fill="2F5D62" w:val="clear"/>
          </w:tcPr>
          <w:p>
            <w:r>
              <w:rPr>
                <w:b/>
                <w:bCs/>
                <w:color w:val="FFFFFF"/>
                <w:sz w:val="19"/>
                <w:szCs w:val="19"/>
              </w:rPr>
              <w:t xml:space="preserve">Meaning</w:t>
            </w:r>
          </w:p>
        </w:tc>
      </w:tr>
      <w:tr>
        <w:tc>
          <w:tcPr>
            <w:tcW w:type="dxa" w:w="2200"/>
          </w:tcPr>
          <w:p>
            <w:pPr>
              <w:spacing w:after="40"/>
            </w:pPr>
            <w:r>
              <w:rPr>
                <w:sz w:val="19"/>
                <w:szCs w:val="19"/>
              </w:rPr>
              <w:t xml:space="preserve">DAG</w:t>
            </w:r>
          </w:p>
        </w:tc>
        <w:tc>
          <w:tcPr>
            <w:tcW w:type="dxa" w:w="7160"/>
          </w:tcPr>
          <w:p>
            <w:pPr>
              <w:spacing w:after="40"/>
            </w:pPr>
            <w:r>
              <w:rPr>
                <w:sz w:val="19"/>
                <w:szCs w:val="19"/>
              </w:rPr>
              <w:t xml:space="preserve">Directed acyclic graph — the dependency structure governing execution order across the 16 assets.</w:t>
            </w:r>
          </w:p>
        </w:tc>
      </w:tr>
      <w:tr>
        <w:tc>
          <w:tcPr>
            <w:tcW w:type="dxa" w:w="2200"/>
            <w:shd w:fill="F2F2F2" w:val="clear"/>
          </w:tcPr>
          <w:p>
            <w:pPr>
              <w:spacing w:after="40"/>
            </w:pPr>
            <w:r>
              <w:rPr>
                <w:sz w:val="19"/>
                <w:szCs w:val="19"/>
              </w:rPr>
              <w:t xml:space="preserve">HITL</w:t>
            </w:r>
          </w:p>
        </w:tc>
        <w:tc>
          <w:tcPr>
            <w:tcW w:type="dxa" w:w="7160"/>
            <w:shd w:fill="F2F2F2" w:val="clear"/>
          </w:tcPr>
          <w:p>
            <w:pPr>
              <w:spacing w:after="40"/>
            </w:pPr>
            <w:r>
              <w:rPr>
                <w:sz w:val="19"/>
                <w:szCs w:val="19"/>
              </w:rPr>
              <w:t xml:space="preserve">Human-in-the-loop — a mandatory strategist review/approval step before a stage's output is treated as final.</w:t>
            </w:r>
          </w:p>
        </w:tc>
      </w:tr>
      <w:tr>
        <w:tc>
          <w:tcPr>
            <w:tcW w:type="dxa" w:w="2200"/>
          </w:tcPr>
          <w:p>
            <w:pPr>
              <w:spacing w:after="40"/>
            </w:pPr>
            <w:r>
              <w:rPr>
                <w:sz w:val="19"/>
                <w:szCs w:val="19"/>
              </w:rPr>
              <w:t xml:space="preserve">Context store</w:t>
            </w:r>
          </w:p>
        </w:tc>
        <w:tc>
          <w:tcPr>
            <w:tcW w:type="dxa" w:w="7160"/>
          </w:tcPr>
          <w:p>
            <w:pPr>
              <w:spacing w:after="40"/>
            </w:pPr>
            <w:r>
              <w:rPr>
                <w:sz w:val="19"/>
                <w:szCs w:val="19"/>
              </w:rPr>
              <w:t xml:space="preserve">The permanent, structured record of every approved stage output, used to ground downstream prompts.</w:t>
            </w:r>
          </w:p>
        </w:tc>
      </w:tr>
      <w:tr>
        <w:tc>
          <w:tcPr>
            <w:tcW w:type="dxa" w:w="2200"/>
            <w:shd w:fill="F2F2F2" w:val="clear"/>
          </w:tcPr>
          <w:p>
            <w:pPr>
              <w:spacing w:after="40"/>
            </w:pPr>
            <w:r>
              <w:rPr>
                <w:sz w:val="19"/>
                <w:szCs w:val="19"/>
              </w:rPr>
              <w:t xml:space="preserve">Gated stage</w:t>
            </w:r>
          </w:p>
        </w:tc>
        <w:tc>
          <w:tcPr>
            <w:tcW w:type="dxa" w:w="7160"/>
            <w:shd w:fill="F2F2F2" w:val="clear"/>
          </w:tcPr>
          <w:p>
            <w:pPr>
              <w:spacing w:after="40"/>
            </w:pPr>
            <w:r>
              <w:rPr>
                <w:sz w:val="19"/>
                <w:szCs w:val="19"/>
              </w:rPr>
              <w:t xml:space="preserve">A stage whose output pauses for strategist review before the pipeline continues.</w:t>
            </w:r>
          </w:p>
        </w:tc>
      </w:tr>
      <w:tr>
        <w:tc>
          <w:tcPr>
            <w:tcW w:type="dxa" w:w="2200"/>
          </w:tcPr>
          <w:p>
            <w:pPr>
              <w:spacing w:after="40"/>
            </w:pPr>
            <w:r>
              <w:rPr>
                <w:sz w:val="19"/>
                <w:szCs w:val="19"/>
              </w:rPr>
              <w:t xml:space="preserve">Auto-chain stage</w:t>
            </w:r>
          </w:p>
        </w:tc>
        <w:tc>
          <w:tcPr>
            <w:tcW w:type="dxa" w:w="7160"/>
          </w:tcPr>
          <w:p>
            <w:pPr>
              <w:spacing w:after="40"/>
            </w:pPr>
            <w:r>
              <w:rPr>
                <w:sz w:val="19"/>
                <w:szCs w:val="19"/>
              </w:rPr>
              <w:t xml:space="preserve">A stage whose output is saved as approved immediately, without a manual review pause.</w:t>
            </w:r>
          </w:p>
        </w:tc>
      </w:tr>
      <w:tr>
        <w:tc>
          <w:tcPr>
            <w:tcW w:type="dxa" w:w="2200"/>
            <w:shd w:fill="F2F2F2" w:val="clear"/>
          </w:tcPr>
          <w:p>
            <w:pPr>
              <w:spacing w:after="40"/>
            </w:pPr>
            <w:r>
              <w:rPr>
                <w:sz w:val="19"/>
                <w:szCs w:val="19"/>
              </w:rPr>
              <w:t xml:space="preserve">ICP</w:t>
            </w:r>
          </w:p>
        </w:tc>
        <w:tc>
          <w:tcPr>
            <w:tcW w:type="dxa" w:w="7160"/>
            <w:shd w:fill="F2F2F2" w:val="clear"/>
          </w:tcPr>
          <w:p>
            <w:pPr>
              <w:spacing w:after="40"/>
            </w:pPr>
            <w:r>
              <w:rPr>
                <w:sz w:val="19"/>
                <w:szCs w:val="19"/>
              </w:rPr>
              <w:t xml:space="preserve">Ideal customer profile.</w:t>
            </w:r>
          </w:p>
        </w:tc>
      </w:tr>
      <w:tr>
        <w:tc>
          <w:tcPr>
            <w:tcW w:type="dxa" w:w="2200"/>
          </w:tcPr>
          <w:p>
            <w:pPr>
              <w:spacing w:after="40"/>
            </w:pPr>
            <w:r>
              <w:rPr>
                <w:sz w:val="19"/>
                <w:szCs w:val="19"/>
              </w:rPr>
              <w:t xml:space="preserve">CRO</w:t>
            </w:r>
          </w:p>
        </w:tc>
        <w:tc>
          <w:tcPr>
            <w:tcW w:type="dxa" w:w="7160"/>
          </w:tcPr>
          <w:p>
            <w:pPr>
              <w:spacing w:after="40"/>
            </w:pPr>
            <w:r>
              <w:rPr>
                <w:sz w:val="19"/>
                <w:szCs w:val="19"/>
              </w:rPr>
              <w:t xml:space="preserve">Conversion rate optimization.</w:t>
            </w:r>
          </w:p>
        </w:tc>
      </w:tr>
      <w:tr>
        <w:tc>
          <w:tcPr>
            <w:tcW w:type="dxa" w:w="2200"/>
            <w:shd w:fill="F2F2F2" w:val="clear"/>
          </w:tcPr>
          <w:p>
            <w:pPr>
              <w:spacing w:after="40"/>
            </w:pPr>
            <w:r>
              <w:rPr>
                <w:sz w:val="19"/>
                <w:szCs w:val="19"/>
              </w:rPr>
              <w:t xml:space="preserve">SharePoint</w:t>
            </w:r>
          </w:p>
        </w:tc>
        <w:tc>
          <w:tcPr>
            <w:tcW w:type="dxa" w:w="7160"/>
            <w:shd w:fill="F2F2F2" w:val="clear"/>
          </w:tcPr>
          <w:p>
            <w:pPr>
              <w:spacing w:after="40"/>
            </w:pPr>
            <w:r>
              <w:rPr>
                <w:sz w:val="19"/>
                <w:szCs w:val="19"/>
              </w:rPr>
              <w:t xml:space="preserve">Microsoft SharePoint — Microsoft's cloud-based document storage and collaboration platform. An alternative such as Google Drive or OneDrive can be substituted if preferred.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2026-08-07T06:31:09.875Z</dcterms:created>
  <dcterms:modified xsi:type="dcterms:W3CDTF">2026-08-07T06:31:09.889Z</dcterms:modified>
</cp:coreProperties>
</file>

<file path=docProps/custom.xml><?xml version="1.0" encoding="utf-8"?>
<Properties xmlns="http://schemas.openxmlformats.org/officeDocument/2006/custom-properties" xmlns:vt="http://schemas.openxmlformats.org/officeDocument/2006/docPropsVTypes"/>
</file>