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A4D36B"/>
          <w:sz w:val="24"/>
          <w:szCs w:val="24"/>
          <w:rFonts w:ascii="Kanit" w:cs="Kanit" w:eastAsia="Kanit" w:hAnsi="Kanit"/>
          <w:spacing w:val="80"/>
        </w:rPr>
        <w:t xml:space="preserve">TRAFFICRADIUS</w:t>
      </w:r>
    </w:p>
    <w:p>
      <w:pPr>
        <w:spacing w:before="120" w:after="480"/>
      </w:pPr>
      <w:r>
        <w:rPr>
          <w:color w:val="555555"/>
          <w:sz w:val="18"/>
          <w:szCs w:val="18"/>
          <w:rFonts w:ascii="Montserrat" w:cs="Montserrat" w:eastAsia="Montserrat" w:hAnsi="Montserrat"/>
        </w:rPr>
        <w:t xml:space="preserve">OWNED MEDIA • CONTENT MARKETING STRATEGY</w:t>
      </w:r>
    </w:p>
    <w:p>
      <w:pPr>
        <w:spacing w:before="0" w:after="240"/>
      </w:pPr>
      <w:r>
        <w:rPr>
          <w:b/>
          <w:bCs/>
          <w:color w:val="072032"/>
          <w:sz w:val="56"/>
          <w:szCs w:val="56"/>
          <w:rFonts w:ascii="Kanit" w:cs="Kanit" w:eastAsia="Kanit" w:hAnsi="Kanit"/>
        </w:rPr>
        <w:t xml:space="preserve">Google Ads Management</w:t>
      </w:r>
    </w:p>
    <w:p>
      <w:pPr>
        <w:spacing w:before="0" w:after="720"/>
      </w:pPr>
      <w:r>
        <w:rPr>
          <w:color w:val="209FD7"/>
          <w:sz w:val="26"/>
          <w:szCs w:val="26"/>
          <w:rFonts w:ascii="Kanit" w:cs="Kanit" w:eastAsia="Kanit" w:hAnsi="Kanit"/>
        </w:rPr>
        <w:t xml:space="preserve">Content Marketing Strategy &amp; Topic Cluster Playbook</w:t>
      </w:r>
    </w:p>
    <w:p>
      <w:pPr>
        <w:pBdr>
          <w:top w:val="single" w:color="A4D36B" w:sz="24" w:space="4"/>
        </w:pBdr>
        <w:spacing w:before="0" w:after="120"/>
      </w:pPr>
      <w:r>
        <w:t xml:space="preserve"/>
      </w:r>
    </w:p>
    <w:p>
      <w:pPr>
        <w:spacing w:before="240"/>
      </w:pPr>
      <w:r>
        <w:rPr>
          <w:i/>
          <w:iCs/>
          <w:color w:val="555555"/>
          <w:sz w:val="20"/>
          <w:szCs w:val="20"/>
          <w:rFonts w:ascii="Montserrat" w:cs="Montserrat" w:eastAsia="Montserrat" w:hAnsi="Montserrat"/>
        </w:rPr>
        <w:t xml:space="preserve">A pillar-and-cluster content framework built to rank, convert, and outpace KlientBoost, SmartSites, Ignite Visibility, and Intero Digital.</w:t>
      </w:r>
    </w:p>
    <w:p>
      <w:pPr>
        <w:spacing w:before="120"/>
      </w:pPr>
      <w:r>
        <w:rPr>
          <w:color w:val="555555"/>
          <w:sz w:val="18"/>
          <w:szCs w:val="18"/>
          <w:rFonts w:ascii="Montserrat" w:cs="Montserrat" w:eastAsia="Montserrat" w:hAnsi="Montserrat"/>
        </w:rPr>
        <w:t xml:space="preserve">Prepared for TrafficRadius Pty Ltd | South Melbourne, VIC</w:t>
      </w:r>
    </w:p>
    <w:p>
      <w:pPr>
        <w:spacing w:before="60"/>
      </w:pPr>
      <w:r>
        <w:rPr>
          <w:color w:val="555555"/>
          <w:sz w:val="18"/>
          <w:szCs w:val="18"/>
          <w:rFonts w:ascii="Montserrat" w:cs="Montserrat" w:eastAsia="Montserrat" w:hAnsi="Montserrat"/>
        </w:rPr>
        <w:t xml:space="preserve">Version 1.0 — April 2026</w:t>
      </w:r>
    </w:p>
    <w:p>
      <w:r>
        <w:br w:type="page"/>
      </w:r>
    </w:p>
    <w:p>
      <w:pPr>
        <w:spacing w:before="480" w:after="240"/>
        <w:jc w:val="left"/>
      </w:pPr>
      <w:r>
        <w:rPr>
          <w:b/>
          <w:bCs/>
          <w:color w:val="072032"/>
          <w:sz w:val="44"/>
          <w:szCs w:val="44"/>
          <w:rFonts w:ascii="Kanit" w:cs="Kanit" w:eastAsia="Kanit" w:hAnsi="Kanit"/>
        </w:rPr>
        <w:t xml:space="preserve">1. Executive Summary</w:t>
      </w:r>
    </w:p>
    <w:p>
      <w:pPr>
        <w:spacing w:before="80" w:after="80" w:line="300"/>
        <w:jc w:val="left"/>
      </w:pPr>
      <w:r>
        <w:rPr>
          <w:b w:val="false"/>
          <w:bCs w:val="false"/>
          <w:i w:val="false"/>
          <w:iCs w:val="false"/>
          <w:color w:val="121212"/>
          <w:sz w:val="20"/>
          <w:szCs w:val="20"/>
          <w:rFonts w:ascii="Montserrat" w:cs="Montserrat" w:eastAsia="Montserrat" w:hAnsi="Montserrat"/>
        </w:rPr>
        <w:t xml:space="preserve">This document defines the end-to-end content marketing strategy for the TrafficRadius Google Ads Management pillar page — the hub asset that anchors our highest-value service line for the Australian SMB and mid-market segment. The strategy is engineered to convert the existing pillar page from a static service page into a topically dominant content ecosystem that wins organic search, fuels paid retargeting, and compounds brand authority month over month.</w:t>
      </w:r>
    </w:p>
    <w:p>
      <w:pPr>
        <w:spacing w:before="80" w:after="80" w:line="300"/>
        <w:jc w:val="left"/>
      </w:pPr>
      <w:r>
        <w:rPr>
          <w:b w:val="false"/>
          <w:bCs w:val="false"/>
          <w:i w:val="false"/>
          <w:iCs w:val="false"/>
          <w:color w:val="121212"/>
          <w:sz w:val="20"/>
          <w:szCs w:val="20"/>
          <w:rFonts w:ascii="Montserrat" w:cs="Montserrat" w:eastAsia="Montserrat" w:hAnsi="Montserrat"/>
        </w:rPr>
        <w:t xml:space="preserve">Our research of 4 primary competitors (KlientBoost, SmartSites, Ignite Visibility, Intero Digital) across 5,411 indexed URLs shows a clear pattern: agencies that rank and convert at scale build educational content depth — not just more service pages. KlientBoost alone operates 340 educational pages and 169 case studies; SmartSites leans on 139 paid ad landing pages; all four cluster content around PPC, SEO, and CRO. TrafficRadius will enter this field with a sharper, Australia-specific voice, stricter topical clustering, and a lead-magnet-first content philosophy.</w:t>
      </w:r>
    </w:p>
    <w:tbl>
      <w:tblPr>
        <w:tblW w:type="pct" w:w="100%"/>
        <w:tblBorders>
          <w:top w:val="none"/>
          <w:left w:val="none"/>
          <w:bottom w:val="none"/>
          <w:right w:val="none"/>
          <w:insideH w:val="none"/>
          <w:insideV w:val="none"/>
        </w:tblBorders>
      </w:tblPr>
      <w:tblGrid>
        <w:gridCol w:w="100"/>
      </w:tblGrid>
      <w:tr>
        <w:tc>
          <w:tcPr>
            <w:tcBorders>
              <w:top w:val="single" w:color="DFEEF4" w:sz="4"/>
              <w:left w:val="single" w:color="A4D36B" w:sz="32"/>
              <w:bottom w:val="single" w:color="DFEEF4" w:sz="4"/>
              <w:right w:val="single" w:color="DFEEF4" w:sz="4"/>
            </w:tcBorders>
            <w:shd w:fill="F9FBFF" w:val="clear"/>
            <w:tcMar>
              <w:top w:type="dxa" w:w="180"/>
              <w:left w:type="dxa" w:w="240"/>
              <w:bottom w:type="dxa" w:w="180"/>
              <w:right w:type="dxa" w:w="240"/>
            </w:tcMar>
          </w:tcPr>
          <w:p>
            <w:pPr>
              <w:spacing w:before="0" w:after="60"/>
            </w:pPr>
            <w:r>
              <w:rPr>
                <w:b/>
                <w:bCs/>
                <w:color w:val="072032"/>
                <w:sz w:val="22"/>
                <w:szCs w:val="22"/>
                <w:rFonts w:ascii="Kanit" w:cs="Kanit" w:eastAsia="Kanit" w:hAnsi="Kanit"/>
              </w:rPr>
              <w:t xml:space="preserve">Strategic Objective</w:t>
            </w:r>
          </w:p>
          <w:p>
            <w:pPr>
              <w:spacing w:before="0" w:after="0" w:line="280"/>
            </w:pPr>
            <w:r>
              <w:rPr>
                <w:color w:val="121212"/>
                <w:sz w:val="20"/>
                <w:szCs w:val="20"/>
                <w:rFonts w:ascii="Montserrat" w:cs="Montserrat" w:eastAsia="Montserrat" w:hAnsi="Montserrat"/>
              </w:rPr>
              <w:t xml:space="preserve">Establish trafficradius.com.au/google-ads-management as the #1 Australian authority for SMB Google Ads education and lead acquisition by Q4 2026 — delivering 50+ organic leads/month and a 4.5x content-to-pipeline ROI within 12 months.</w:t>
            </w:r>
          </w:p>
        </w:tc>
      </w:tr>
    </w:tbl>
    <w:p>
      <w:pPr>
        <w:spacing w:before="240" w:after="100"/>
      </w:pPr>
      <w:r>
        <w:rPr>
          <w:b/>
          <w:bCs/>
          <w:color w:val="23282D"/>
          <w:sz w:val="26"/>
          <w:szCs w:val="26"/>
          <w:rFonts w:ascii="Kanit" w:cs="Kanit" w:eastAsia="Kanit" w:hAnsi="Kanit"/>
        </w:rPr>
        <w:t xml:space="preserve">1.1 Key Success Indicators (12-Month Horizon)</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gridCol w:w="100"/>
        <w:gridCol w:w="100"/>
      </w:tblGrid>
      <w:tr>
        <w:tc>
          <w:tcPr>
            <w:tcW w:type="pct" w:w="4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KPI</w:t>
            </w:r>
          </w:p>
        </w:tc>
        <w:tc>
          <w:tcPr>
            <w:tcW w:type="pct" w:w="2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Baseline</w:t>
            </w:r>
          </w:p>
        </w:tc>
        <w:tc>
          <w:tcPr>
            <w:tcW w:type="pct" w:w="2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Month 6</w:t>
            </w:r>
          </w:p>
        </w:tc>
        <w:tc>
          <w:tcPr>
            <w:tcW w:type="pct" w:w="2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Month 12</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Organic sessions to Google Ads hub</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~0</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8,000/mo</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22,000/mo</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Ranking keywords (top 10)</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25</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60</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Lead magnet downloads</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0</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200/mo</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500/mo</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MQLs from content channel</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0</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20/mo</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50/mo</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Backlinks to pillar</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0</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40</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120</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Average time on pillar</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3:30</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5:00</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Content-attributed pipeline</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$0</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$35K/mo</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$120K/mo</w:t>
            </w:r>
          </w:p>
        </w:tc>
      </w:tr>
    </w:tbl>
    <w:p>
      <w:r>
        <w:br w:type="page"/>
      </w:r>
    </w:p>
    <w:p>
      <w:pPr>
        <w:spacing w:before="480" w:after="240"/>
        <w:jc w:val="left"/>
      </w:pPr>
      <w:r>
        <w:rPr>
          <w:b/>
          <w:bCs/>
          <w:color w:val="072032"/>
          <w:sz w:val="44"/>
          <w:szCs w:val="44"/>
          <w:rFonts w:ascii="Kanit" w:cs="Kanit" w:eastAsia="Kanit" w:hAnsi="Kanit"/>
        </w:rPr>
        <w:t xml:space="preserve">2. Competitor Content Landscape</w:t>
      </w:r>
    </w:p>
    <w:p>
      <w:pPr>
        <w:spacing w:before="80" w:after="80" w:line="300"/>
        <w:jc w:val="left"/>
      </w:pPr>
      <w:r>
        <w:rPr>
          <w:b w:val="false"/>
          <w:bCs w:val="false"/>
          <w:i w:val="false"/>
          <w:iCs w:val="false"/>
          <w:color w:val="121212"/>
          <w:sz w:val="20"/>
          <w:szCs w:val="20"/>
          <w:rFonts w:ascii="Montserrat" w:cs="Montserrat" w:eastAsia="Montserrat" w:hAnsi="Montserrat"/>
        </w:rPr>
        <w:t xml:space="preserve">Deep-analysis of 1,211 competitor pages reveals how the four benchmark agencies structure their Google Ads / PPC content — and where the gaps are. The pattern below represents the "table stakes" competitive baseline; our strategy is designed to match it on depth and beat it on localization, transparency, and conversion engineering.</w:t>
      </w:r>
    </w:p>
    <w:p>
      <w:pPr>
        <w:spacing w:before="240" w:after="100"/>
      </w:pPr>
      <w:r>
        <w:rPr>
          <w:b/>
          <w:bCs/>
          <w:color w:val="23282D"/>
          <w:sz w:val="26"/>
          <w:szCs w:val="26"/>
          <w:rFonts w:ascii="Kanit" w:cs="Kanit" w:eastAsia="Kanit" w:hAnsi="Kanit"/>
        </w:rPr>
        <w:t xml:space="preserve">2.1 Competitor Content Footprint — Quantified</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gridCol w:w="100"/>
        <w:gridCol w:w="100"/>
        <w:gridCol w:w="100"/>
        <w:gridCol w:w="100"/>
        <w:gridCol w:w="100"/>
      </w:tblGrid>
      <w:tr>
        <w:tc>
          <w:tcPr>
            <w:tcW w:type="pct" w:w="22%"/>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Competitor</w:t>
            </w:r>
          </w:p>
        </w:tc>
        <w:tc>
          <w:tcPr>
            <w:tcW w:type="pct" w:w="1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Monthly Visits</w:t>
            </w:r>
          </w:p>
        </w:tc>
        <w:tc>
          <w:tcPr>
            <w:tcW w:type="pct" w:w="13%"/>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Service Pages</w:t>
            </w:r>
          </w:p>
        </w:tc>
        <w:tc>
          <w:tcPr>
            <w:tcW w:type="pct" w:w="13%"/>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Case Studies</w:t>
            </w:r>
          </w:p>
        </w:tc>
        <w:tc>
          <w:tcPr>
            <w:tcW w:type="pct" w:w="17%"/>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Educational Pages</w:t>
            </w:r>
          </w:p>
        </w:tc>
        <w:tc>
          <w:tcPr>
            <w:tcW w:type="pct" w:w="1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Paid Ad LPs</w:t>
            </w:r>
          </w:p>
        </w:tc>
        <w:tc>
          <w:tcPr>
            <w:tcW w:type="pct" w:w="1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Bounce</w:t>
            </w:r>
          </w:p>
        </w:tc>
      </w:tr>
      <w:tr>
        <w:tc>
          <w:tcPr>
            <w:tcW w:type="pct" w:w="2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KlientBoost</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62,079</w:t>
            </w:r>
          </w:p>
        </w:tc>
        <w:tc>
          <w:tcPr>
            <w:tcW w:type="pct" w:w="13%"/>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21</w:t>
            </w:r>
          </w:p>
        </w:tc>
        <w:tc>
          <w:tcPr>
            <w:tcW w:type="pct" w:w="13%"/>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169</w:t>
            </w:r>
          </w:p>
        </w:tc>
        <w:tc>
          <w:tcPr>
            <w:tcW w:type="pct" w:w="17%"/>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340</w:t>
            </w:r>
          </w:p>
        </w:tc>
        <w:tc>
          <w:tcPr>
            <w:tcW w:type="pct" w:w="1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10</w:t>
            </w:r>
          </w:p>
        </w:tc>
        <w:tc>
          <w:tcPr>
            <w:tcW w:type="pct" w:w="1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42.7%</w:t>
            </w:r>
          </w:p>
        </w:tc>
      </w:tr>
      <w:tr>
        <w:tc>
          <w:tcPr>
            <w:tcW w:type="pct" w:w="22%"/>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SmartSites</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32,345</w:t>
            </w:r>
          </w:p>
        </w:tc>
        <w:tc>
          <w:tcPr>
            <w:tcW w:type="pct" w:w="13%"/>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157</w:t>
            </w:r>
          </w:p>
        </w:tc>
        <w:tc>
          <w:tcPr>
            <w:tcW w:type="pct" w:w="13%"/>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426</w:t>
            </w:r>
          </w:p>
        </w:tc>
        <w:tc>
          <w:tcPr>
            <w:tcW w:type="pct" w:w="17%"/>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N/D</w:t>
            </w:r>
          </w:p>
        </w:tc>
        <w:tc>
          <w:tcPr>
            <w:tcW w:type="pct" w:w="1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139</w:t>
            </w:r>
          </w:p>
        </w:tc>
        <w:tc>
          <w:tcPr>
            <w:tcW w:type="pct" w:w="1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50.4%</w:t>
            </w:r>
          </w:p>
        </w:tc>
      </w:tr>
      <w:tr>
        <w:tc>
          <w:tcPr>
            <w:tcW w:type="pct" w:w="2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Ignite Visibility</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43,980</w:t>
            </w:r>
          </w:p>
        </w:tc>
        <w:tc>
          <w:tcPr>
            <w:tcW w:type="pct" w:w="13%"/>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53</w:t>
            </w:r>
          </w:p>
        </w:tc>
        <w:tc>
          <w:tcPr>
            <w:tcW w:type="pct" w:w="13%"/>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N/D</w:t>
            </w:r>
          </w:p>
        </w:tc>
        <w:tc>
          <w:tcPr>
            <w:tcW w:type="pct" w:w="17%"/>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N/D</w:t>
            </w:r>
          </w:p>
        </w:tc>
        <w:tc>
          <w:tcPr>
            <w:tcW w:type="pct" w:w="1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6</w:t>
            </w:r>
          </w:p>
        </w:tc>
        <w:tc>
          <w:tcPr>
            <w:tcW w:type="pct" w:w="1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41.0%</w:t>
            </w:r>
          </w:p>
        </w:tc>
      </w:tr>
      <w:tr>
        <w:tc>
          <w:tcPr>
            <w:tcW w:type="pct" w:w="22%"/>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Intero Digital</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14,514</w:t>
            </w:r>
          </w:p>
        </w:tc>
        <w:tc>
          <w:tcPr>
            <w:tcW w:type="pct" w:w="13%"/>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232</w:t>
            </w:r>
          </w:p>
        </w:tc>
        <w:tc>
          <w:tcPr>
            <w:tcW w:type="pct" w:w="13%"/>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N/D</w:t>
            </w:r>
          </w:p>
        </w:tc>
        <w:tc>
          <w:tcPr>
            <w:tcW w:type="pct" w:w="17%"/>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N/D</w:t>
            </w:r>
          </w:p>
        </w:tc>
        <w:tc>
          <w:tcPr>
            <w:tcW w:type="pct" w:w="1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N/D</w:t>
            </w:r>
          </w:p>
        </w:tc>
        <w:tc>
          <w:tcPr>
            <w:tcW w:type="pct" w:w="1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41.6%</w:t>
            </w:r>
          </w:p>
        </w:tc>
      </w:tr>
    </w:tbl>
    <w:p>
      <w:pPr>
        <w:spacing w:before="240" w:after="100"/>
      </w:pPr>
      <w:r>
        <w:rPr>
          <w:b/>
          <w:bCs/>
          <w:color w:val="23282D"/>
          <w:sz w:val="26"/>
          <w:szCs w:val="26"/>
          <w:rFonts w:ascii="Kanit" w:cs="Kanit" w:eastAsia="Kanit" w:hAnsi="Kanit"/>
        </w:rPr>
        <w:t xml:space="preserve">2.2 What Each Competitor Does Exceptionally Well</w:t>
      </w:r>
    </w:p>
    <w:p>
      <w:pPr>
        <w:spacing w:before="180" w:after="80"/>
      </w:pPr>
      <w:r>
        <w:rPr>
          <w:b/>
          <w:bCs/>
          <w:color w:val="209FD7"/>
          <w:sz w:val="22"/>
          <w:szCs w:val="22"/>
          <w:rFonts w:ascii="Kanit" w:cs="Kanit" w:eastAsia="Kanit" w:hAnsi="Kanit"/>
        </w:rPr>
        <w:t xml:space="preserve">KlientBoost — Educational Depth Leader</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340 educational pages forming a mature topic cluster architecture covering PPC, SEO, CRO, and content marketing.</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Signature "Free Marketing Plan" lead magnet placed on virtually every page (169 case studies + 340 educational pages = consistent CTA ecosystem).</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Case studies framed as outcome narratives ("111% conversion lift", "63% ROI increase") rather than client testimonials — this is the model we will emulate.</w:t>
      </w:r>
    </w:p>
    <w:p>
      <w:pPr>
        <w:spacing w:before="180" w:after="80"/>
      </w:pPr>
      <w:r>
        <w:rPr>
          <w:b/>
          <w:bCs/>
          <w:color w:val="209FD7"/>
          <w:sz w:val="22"/>
          <w:szCs w:val="22"/>
          <w:rFonts w:ascii="Kanit" w:cs="Kanit" w:eastAsia="Kanit" w:hAnsi="Kanit"/>
        </w:rPr>
        <w:t xml:space="preserve">SmartSites — Service Page Specialist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157 service pages and 139 paid landing pages — an industrial-scale PPC landing page operation.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Thought leadership thread (annual conference, generative AI content) used as a PR/SEO backlink magnet.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Highest bounce rate of the four (50.4%) suggests quantity is prioritized over dwell quality — our opportunity.</w:t>
      </w:r>
    </w:p>
    <w:p>
      <w:pPr>
        <w:spacing w:before="180" w:after="80"/>
      </w:pPr>
      <w:r>
        <w:rPr>
          <w:b/>
          <w:bCs/>
          <w:color w:val="209FD7"/>
          <w:sz w:val="22"/>
          <w:szCs w:val="22"/>
          <w:rFonts w:ascii="Kanit" w:cs="Kanit" w:eastAsia="Kanit" w:hAnsi="Kanit"/>
        </w:rPr>
        <w:t xml:space="preserve">Ignite Visibility — Specialization Play</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Heavy on specialized service variants (AI SEO, Amazon Marketing, Affiliate Marketing) at $3.5K–$60K/month price bands.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Consultation-funnel first; thin on top-of-funnel educational content.</w:t>
      </w:r>
    </w:p>
    <w:p>
      <w:pPr>
        <w:spacing w:before="180" w:after="80"/>
      </w:pPr>
      <w:r>
        <w:rPr>
          <w:b/>
          <w:bCs/>
          <w:color w:val="209FD7"/>
          <w:sz w:val="22"/>
          <w:szCs w:val="22"/>
          <w:rFonts w:ascii="Kanit" w:cs="Kanit" w:eastAsia="Kanit" w:hAnsi="Kanit"/>
        </w:rPr>
        <w:t xml:space="preserve">Intero Digital — Vertical Depth</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232 service pages organized by vertical (industrial, healthcare, B2B SaaS).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Lowest traffic of the four despite largest service footprint — content depth alone is insufficient.</w:t>
      </w:r>
    </w:p>
    <w:p>
      <w:pPr>
        <w:spacing w:before="240" w:after="100"/>
      </w:pPr>
      <w:r>
        <w:rPr>
          <w:b/>
          <w:bCs/>
          <w:color w:val="23282D"/>
          <w:sz w:val="26"/>
          <w:szCs w:val="26"/>
          <w:rFonts w:ascii="Kanit" w:cs="Kanit" w:eastAsia="Kanit" w:hAnsi="Kanit"/>
        </w:rPr>
        <w:t xml:space="preserve">2.3 Identified Content Gaps (TrafficRadius Opportunities)</w:t>
      </w:r>
    </w:p>
    <w:tbl>
      <w:tblPr>
        <w:tblW w:type="pct" w:w="100%"/>
        <w:tblBorders>
          <w:top w:val="none"/>
          <w:left w:val="none"/>
          <w:bottom w:val="none"/>
          <w:right w:val="none"/>
          <w:insideH w:val="none"/>
          <w:insideV w:val="none"/>
        </w:tblBorders>
      </w:tblPr>
      <w:tblGrid>
        <w:gridCol w:w="100"/>
      </w:tblGrid>
      <w:tr>
        <w:tc>
          <w:tcPr>
            <w:tcBorders>
              <w:top w:val="single" w:color="DFEEF4" w:sz="4"/>
              <w:left w:val="single" w:color="A4D36B" w:sz="32"/>
              <w:bottom w:val="single" w:color="DFEEF4" w:sz="4"/>
              <w:right w:val="single" w:color="DFEEF4" w:sz="4"/>
            </w:tcBorders>
            <w:shd w:fill="F9FBFF" w:val="clear"/>
            <w:tcMar>
              <w:top w:type="dxa" w:w="180"/>
              <w:left w:type="dxa" w:w="240"/>
              <w:bottom w:type="dxa" w:w="180"/>
              <w:right w:type="dxa" w:w="240"/>
            </w:tcMar>
          </w:tcPr>
          <w:p>
            <w:pPr>
              <w:spacing w:before="0" w:after="60"/>
            </w:pPr>
            <w:r>
              <w:rPr>
                <w:b/>
                <w:bCs/>
                <w:color w:val="072032"/>
                <w:sz w:val="22"/>
                <w:szCs w:val="22"/>
                <w:rFonts w:ascii="Kanit" w:cs="Kanit" w:eastAsia="Kanit" w:hAnsi="Kanit"/>
              </w:rPr>
              <w:t xml:space="preserve">Gap 1 — Australian Market Specificity</w:t>
            </w:r>
          </w:p>
          <w:p>
            <w:pPr>
              <w:spacing w:before="0" w:after="0" w:line="280"/>
            </w:pPr>
            <w:r>
              <w:rPr>
                <w:color w:val="121212"/>
                <w:sz w:val="20"/>
                <w:szCs w:val="20"/>
                <w:rFonts w:ascii="Montserrat" w:cs="Montserrat" w:eastAsia="Montserrat" w:hAnsi="Montserrat"/>
              </w:rPr>
              <w:t xml:space="preserve">All four benchmark agencies are US-first. Zero dedicated content for Australian AUD benchmarks, ACCC compliance, state-level search behavior (VIC, NSW, QLD), or Australian industry CPC data. This is our primary defensible moat.</w:t>
            </w:r>
          </w:p>
        </w:tc>
      </w:tr>
    </w:tbl>
    <w:tbl>
      <w:tblPr>
        <w:tblW w:type="pct" w:w="100%"/>
        <w:tblBorders>
          <w:top w:val="none"/>
          <w:left w:val="none"/>
          <w:bottom w:val="none"/>
          <w:right w:val="none"/>
          <w:insideH w:val="none"/>
          <w:insideV w:val="none"/>
        </w:tblBorders>
      </w:tblPr>
      <w:tblGrid>
        <w:gridCol w:w="100"/>
      </w:tblGrid>
      <w:tr>
        <w:tc>
          <w:tcPr>
            <w:tcBorders>
              <w:top w:val="single" w:color="DFEEF4" w:sz="4"/>
              <w:left w:val="single" w:color="209FD7" w:sz="32"/>
              <w:bottom w:val="single" w:color="DFEEF4" w:sz="4"/>
              <w:right w:val="single" w:color="DFEEF4" w:sz="4"/>
            </w:tcBorders>
            <w:shd w:fill="F9FBFF" w:val="clear"/>
            <w:tcMar>
              <w:top w:type="dxa" w:w="180"/>
              <w:left w:type="dxa" w:w="240"/>
              <w:bottom w:type="dxa" w:w="180"/>
              <w:right w:type="dxa" w:w="240"/>
            </w:tcMar>
          </w:tcPr>
          <w:p>
            <w:pPr>
              <w:spacing w:before="0" w:after="60"/>
            </w:pPr>
            <w:r>
              <w:rPr>
                <w:b/>
                <w:bCs/>
                <w:color w:val="072032"/>
                <w:sz w:val="22"/>
                <w:szCs w:val="22"/>
                <w:rFonts w:ascii="Kanit" w:cs="Kanit" w:eastAsia="Kanit" w:hAnsi="Kanit"/>
              </w:rPr>
              <w:t xml:space="preserve">Gap 2 — Transparent Pricing Content</w:t>
            </w:r>
          </w:p>
          <w:p>
            <w:pPr>
              <w:spacing w:before="0" w:after="0" w:line="280"/>
            </w:pPr>
            <w:r>
              <w:rPr>
                <w:color w:val="121212"/>
                <w:sz w:val="20"/>
                <w:szCs w:val="20"/>
                <w:rFonts w:ascii="Montserrat" w:cs="Montserrat" w:eastAsia="Montserrat" w:hAnsi="Montserrat"/>
              </w:rPr>
              <w:t xml:space="preserve">Competitors hide pricing (Ignite: "$3,500–$60,000/month"). TrafficRadius will publish plain-English AUD pricing guides, management fee breakdowns, and our open ROI Calculator as a content asset.</w:t>
            </w:r>
          </w:p>
        </w:tc>
      </w:tr>
    </w:tbl>
    <w:tbl>
      <w:tblPr>
        <w:tblW w:type="pct" w:w="100%"/>
        <w:tblBorders>
          <w:top w:val="none"/>
          <w:left w:val="none"/>
          <w:bottom w:val="none"/>
          <w:right w:val="none"/>
          <w:insideH w:val="none"/>
          <w:insideV w:val="none"/>
        </w:tblBorders>
      </w:tblPr>
      <w:tblGrid>
        <w:gridCol w:w="100"/>
      </w:tblGrid>
      <w:tr>
        <w:tc>
          <w:tcPr>
            <w:tcBorders>
              <w:top w:val="single" w:color="DFEEF4" w:sz="4"/>
              <w:left w:val="single" w:color="1A8A7D" w:sz="32"/>
              <w:bottom w:val="single" w:color="DFEEF4" w:sz="4"/>
              <w:right w:val="single" w:color="DFEEF4" w:sz="4"/>
            </w:tcBorders>
            <w:shd w:fill="F9FBFF" w:val="clear"/>
            <w:tcMar>
              <w:top w:type="dxa" w:w="180"/>
              <w:left w:type="dxa" w:w="240"/>
              <w:bottom w:type="dxa" w:w="180"/>
              <w:right w:type="dxa" w:w="240"/>
            </w:tcMar>
          </w:tcPr>
          <w:p>
            <w:pPr>
              <w:spacing w:before="0" w:after="60"/>
            </w:pPr>
            <w:r>
              <w:rPr>
                <w:b/>
                <w:bCs/>
                <w:color w:val="072032"/>
                <w:sz w:val="22"/>
                <w:szCs w:val="22"/>
                <w:rFonts w:ascii="Kanit" w:cs="Kanit" w:eastAsia="Kanit" w:hAnsi="Kanit"/>
              </w:rPr>
              <w:t xml:space="preserve">Gap 3 — SMB-First Positioning</w:t>
            </w:r>
          </w:p>
          <w:p>
            <w:pPr>
              <w:spacing w:before="0" w:after="0" w:line="280"/>
            </w:pPr>
            <w:r>
              <w:rPr>
                <w:color w:val="121212"/>
                <w:sz w:val="20"/>
                <w:szCs w:val="20"/>
                <w:rFonts w:ascii="Montserrat" w:cs="Montserrat" w:eastAsia="Montserrat" w:hAnsi="Montserrat"/>
              </w:rPr>
              <w:t xml:space="preserve">KlientBoost, Ignite, Intero target enterprise/mid-market. We will own the $2K–$15K/month AUD ad-spend segment with content written for owner-operators, not CMOs.</w:t>
            </w:r>
          </w:p>
        </w:tc>
      </w:tr>
    </w:tbl>
    <w:tbl>
      <w:tblPr>
        <w:tblW w:type="pct" w:w="100%"/>
        <w:tblBorders>
          <w:top w:val="none"/>
          <w:left w:val="none"/>
          <w:bottom w:val="none"/>
          <w:right w:val="none"/>
          <w:insideH w:val="none"/>
          <w:insideV w:val="none"/>
        </w:tblBorders>
      </w:tblPr>
      <w:tblGrid>
        <w:gridCol w:w="100"/>
      </w:tblGrid>
      <w:tr>
        <w:tc>
          <w:tcPr>
            <w:tcBorders>
              <w:top w:val="single" w:color="DFEEF4" w:sz="4"/>
              <w:left w:val="single" w:color="D4A017" w:sz="32"/>
              <w:bottom w:val="single" w:color="DFEEF4" w:sz="4"/>
              <w:right w:val="single" w:color="DFEEF4" w:sz="4"/>
            </w:tcBorders>
            <w:shd w:fill="F9FBFF" w:val="clear"/>
            <w:tcMar>
              <w:top w:type="dxa" w:w="180"/>
              <w:left w:type="dxa" w:w="240"/>
              <w:bottom w:type="dxa" w:w="180"/>
              <w:right w:type="dxa" w:w="240"/>
            </w:tcMar>
          </w:tcPr>
          <w:p>
            <w:pPr>
              <w:spacing w:before="0" w:after="60"/>
            </w:pPr>
            <w:r>
              <w:rPr>
                <w:b/>
                <w:bCs/>
                <w:color w:val="072032"/>
                <w:sz w:val="22"/>
                <w:szCs w:val="22"/>
                <w:rFonts w:ascii="Kanit" w:cs="Kanit" w:eastAsia="Kanit" w:hAnsi="Kanit"/>
              </w:rPr>
              <w:t xml:space="preserve">Gap 4 — Conversion-Engineered Calculators &amp; Tools</w:t>
            </w:r>
          </w:p>
          <w:p>
            <w:pPr>
              <w:spacing w:before="0" w:after="0" w:line="280"/>
            </w:pPr>
            <w:r>
              <w:rPr>
                <w:color w:val="121212"/>
                <w:sz w:val="20"/>
                <w:szCs w:val="20"/>
                <w:rFonts w:ascii="Montserrat" w:cs="Montserrat" w:eastAsia="Montserrat" w:hAnsi="Montserrat"/>
              </w:rPr>
              <w:t xml:space="preserve">Only KlientBoost uses a meaningful lead-magnet funnel. We already have a published ROI Calculator — we will build three more interactive tools as content-driven lead magnets.</w:t>
            </w:r>
          </w:p>
        </w:tc>
      </w:tr>
    </w:tbl>
    <w:p>
      <w:r>
        <w:br w:type="page"/>
      </w:r>
    </w:p>
    <w:p>
      <w:pPr>
        <w:spacing w:before="480" w:after="240"/>
        <w:jc w:val="left"/>
      </w:pPr>
      <w:r>
        <w:rPr>
          <w:b/>
          <w:bCs/>
          <w:color w:val="072032"/>
          <w:sz w:val="44"/>
          <w:szCs w:val="44"/>
          <w:rFonts w:ascii="Kanit" w:cs="Kanit" w:eastAsia="Kanit" w:hAnsi="Kanit"/>
        </w:rPr>
        <w:t xml:space="preserve">3. Target Audience &amp; Buyer Personas</w:t>
      </w:r>
    </w:p>
    <w:p>
      <w:pPr>
        <w:spacing w:before="80" w:after="80" w:line="300"/>
        <w:jc w:val="left"/>
      </w:pPr>
      <w:r>
        <w:rPr>
          <w:b w:val="false"/>
          <w:bCs w:val="false"/>
          <w:i w:val="false"/>
          <w:iCs w:val="false"/>
          <w:color w:val="121212"/>
          <w:sz w:val="20"/>
          <w:szCs w:val="20"/>
          <w:rFonts w:ascii="Montserrat" w:cs="Montserrat" w:eastAsia="Montserrat" w:hAnsi="Montserrat"/>
        </w:rPr>
        <w:t xml:space="preserve">All content must be written for one of three personas. Every blog, guide, video, and email must declare its primary persona in the content brief. This discipline is how we avoid the generic, US-centric tone that dominates this vertical.</w:t>
      </w:r>
    </w:p>
    <w:p>
      <w:pPr>
        <w:spacing w:before="240" w:after="100"/>
      </w:pPr>
      <w:r>
        <w:rPr>
          <w:b/>
          <w:bCs/>
          <w:color w:val="23282D"/>
          <w:sz w:val="26"/>
          <w:szCs w:val="26"/>
          <w:rFonts w:ascii="Kanit" w:cs="Kanit" w:eastAsia="Kanit" w:hAnsi="Kanit"/>
        </w:rPr>
        <w:t xml:space="preserve">3.1 Primary Persona — "Accountable Andrew" (SMB Owner-Operator)</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tblGrid>
      <w:tr>
        <w:tc>
          <w:tcPr>
            <w:tcW w:type="pct" w:w="2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Attribute</w:t>
            </w:r>
          </w:p>
        </w:tc>
        <w:tc>
          <w:tcPr>
            <w:tcW w:type="pct" w:w="7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Detail</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Role</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Owner / Founder / GM of a $2M–$20M AUD revenue business</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Industries</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Home services, dental, legal, trades, local retail, hospitality, automotive</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Geography</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VIC (40%), NSW (30%), QLD (15%), WA+SA (15%)</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Current Google Ads state</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Running ads themselves or with a freelancer; spending $1.5K–$8K/month; unsure if ROI is positive</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 consumption</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LinkedIn (passive), Google Search (active), YouTube (evening)</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Pain point</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"I don't know if I'm wasting money"</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Decision trigger</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Seeing transparent AUD benchmarks that prove their current spend is underperforming</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Preferred format</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Short explainer video + downloadable checklist + no-jargon calculator</w:t>
            </w:r>
          </w:p>
        </w:tc>
      </w:tr>
    </w:tbl>
    <w:p>
      <w:pPr>
        <w:spacing w:before="240" w:after="100"/>
      </w:pPr>
      <w:r>
        <w:rPr>
          <w:b/>
          <w:bCs/>
          <w:color w:val="23282D"/>
          <w:sz w:val="26"/>
          <w:szCs w:val="26"/>
          <w:rFonts w:ascii="Kanit" w:cs="Kanit" w:eastAsia="Kanit" w:hAnsi="Kanit"/>
        </w:rPr>
        <w:t xml:space="preserve">3.2 Secondary Persona — "Marketing Mia" (In-house Coordinator)</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tblGrid>
      <w:tr>
        <w:tc>
          <w:tcPr>
            <w:tcW w:type="pct" w:w="2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Attribute</w:t>
            </w:r>
          </w:p>
        </w:tc>
        <w:tc>
          <w:tcPr>
            <w:tcW w:type="pct" w:w="7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Detail</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Role</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Marketing Coordinator / Manager at a $10M–$50M AUD business</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Reports to</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Founder, GM, or Head of Growth</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Pain point</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Pressured to prove Google Ads ROI to leadership; lacks technical depth to audit agency partners</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 consumption</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LinkedIn (active), industry newsletters, benchmark reports</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Decision trigger</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Benchmark-heavy content that gives them ammunition for internal reporting</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Preferred format</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Deep-dive benchmark reports, auditable frameworks, customer case studies</w:t>
            </w:r>
          </w:p>
        </w:tc>
      </w:tr>
    </w:tbl>
    <w:p>
      <w:pPr>
        <w:spacing w:before="240" w:after="100"/>
      </w:pPr>
      <w:r>
        <w:rPr>
          <w:b/>
          <w:bCs/>
          <w:color w:val="23282D"/>
          <w:sz w:val="26"/>
          <w:szCs w:val="26"/>
          <w:rFonts w:ascii="Kanit" w:cs="Kanit" w:eastAsia="Kanit" w:hAnsi="Kanit"/>
        </w:rPr>
        <w:t xml:space="preserve">3.3 Tertiary Persona — "Switching Sam" (Agency-Frustrated Buyer)</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tblGrid>
      <w:tr>
        <w:tc>
          <w:tcPr>
            <w:tcW w:type="pct" w:w="2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Attribute</w:t>
            </w:r>
          </w:p>
        </w:tc>
        <w:tc>
          <w:tcPr>
            <w:tcW w:type="pct" w:w="7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Detail</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Role</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Business owner or marketing lead currently with another agency</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Pain point</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Results flatlined; opaque reporting; long contracts; no strategic input from current agency</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 consumption</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Targeted searches: "is my agency ripping me off", "google ads agency reviews australia"</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Decision trigger</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Diagnostic/audit content that validates their suspicion</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Preferred format</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Free audit offers, "red flag" checklists, side-by-side comparisons</w:t>
            </w:r>
          </w:p>
        </w:tc>
      </w:tr>
    </w:tbl>
    <w:p>
      <w:r>
        <w:br w:type="page"/>
      </w:r>
    </w:p>
    <w:p>
      <w:pPr>
        <w:spacing w:before="480" w:after="240"/>
        <w:jc w:val="left"/>
      </w:pPr>
      <w:r>
        <w:rPr>
          <w:b/>
          <w:bCs/>
          <w:color w:val="072032"/>
          <w:sz w:val="44"/>
          <w:szCs w:val="44"/>
          <w:rFonts w:ascii="Kanit" w:cs="Kanit" w:eastAsia="Kanit" w:hAnsi="Kanit"/>
        </w:rPr>
        <w:t xml:space="preserve">4. Topic Cluster Architecture</w:t>
      </w:r>
    </w:p>
    <w:p>
      <w:pPr>
        <w:spacing w:before="80" w:after="80" w:line="300"/>
        <w:jc w:val="left"/>
      </w:pPr>
      <w:r>
        <w:rPr>
          <w:b w:val="false"/>
          <w:bCs w:val="false"/>
          <w:i w:val="false"/>
          <w:iCs w:val="false"/>
          <w:color w:val="121212"/>
          <w:sz w:val="20"/>
          <w:szCs w:val="20"/>
          <w:rFonts w:ascii="Montserrat" w:cs="Montserrat" w:eastAsia="Montserrat" w:hAnsi="Montserrat"/>
        </w:rPr>
        <w:t xml:space="preserve">The pillar-and-cluster model is the single most important strategic choice in this plan. It tells Google that trafficradius.com.au/google-ads-management is the definitive Australian authority on Google Ads management by surrounding it with 40+ tightly linked supporting assets.</w:t>
      </w:r>
    </w:p>
    <w:tbl>
      <w:tblPr>
        <w:tblW w:type="pct" w:w="100%"/>
        <w:tblBorders>
          <w:top w:val="none"/>
          <w:left w:val="none"/>
          <w:bottom w:val="none"/>
          <w:right w:val="none"/>
          <w:insideH w:val="none"/>
          <w:insideV w:val="none"/>
        </w:tblBorders>
      </w:tblPr>
      <w:tblGrid>
        <w:gridCol w:w="100"/>
      </w:tblGrid>
      <w:tr>
        <w:tc>
          <w:tcPr>
            <w:tcBorders>
              <w:top w:val="single" w:color="DFEEF4" w:sz="4"/>
              <w:left w:val="single" w:color="072032" w:sz="32"/>
              <w:bottom w:val="single" w:color="DFEEF4" w:sz="4"/>
              <w:right w:val="single" w:color="DFEEF4" w:sz="4"/>
            </w:tcBorders>
            <w:shd w:fill="F9FBFF" w:val="clear"/>
            <w:tcMar>
              <w:top w:type="dxa" w:w="180"/>
              <w:left w:type="dxa" w:w="240"/>
              <w:bottom w:type="dxa" w:w="180"/>
              <w:right w:type="dxa" w:w="240"/>
            </w:tcMar>
          </w:tcPr>
          <w:p>
            <w:pPr>
              <w:spacing w:before="0" w:after="60"/>
            </w:pPr>
            <w:r>
              <w:rPr>
                <w:b/>
                <w:bCs/>
                <w:color w:val="072032"/>
                <w:sz w:val="22"/>
                <w:szCs w:val="22"/>
                <w:rFonts w:ascii="Kanit" w:cs="Kanit" w:eastAsia="Kanit" w:hAnsi="Kanit"/>
              </w:rPr>
              <w:t xml:space="preserve">The Pillar</w:t>
            </w:r>
          </w:p>
          <w:p>
            <w:pPr>
              <w:spacing w:before="0" w:after="0" w:line="280"/>
            </w:pPr>
            <w:r>
              <w:rPr>
                <w:color w:val="121212"/>
                <w:sz w:val="20"/>
                <w:szCs w:val="20"/>
                <w:rFonts w:ascii="Montserrat" w:cs="Montserrat" w:eastAsia="Montserrat" w:hAnsi="Montserrat"/>
              </w:rPr>
              <w:t xml:space="preserve">trafficradius.com.au/google-ads-management — a 3,500–5,000 word comprehensive resource covering every facet of Google Ads management for Australian SMBs. Already drafted (TrafficRadius_Pillar_Page_Content_SEO_v2.docx) — this plan expands and operationalizes its supporting content.</w:t>
            </w:r>
          </w:p>
        </w:tc>
      </w:tr>
    </w:tbl>
    <w:p>
      <w:pPr>
        <w:spacing w:before="240" w:after="100"/>
      </w:pPr>
      <w:r>
        <w:rPr>
          <w:b/>
          <w:bCs/>
          <w:color w:val="23282D"/>
          <w:sz w:val="26"/>
          <w:szCs w:val="26"/>
          <w:rFonts w:ascii="Kanit" w:cs="Kanit" w:eastAsia="Kanit" w:hAnsi="Kanit"/>
        </w:rPr>
        <w:t xml:space="preserve">4.1 Four Cluster Categories (with Sub-Clusters)</w:t>
      </w:r>
    </w:p>
    <w:p>
      <w:pPr>
        <w:spacing w:before="180" w:after="80"/>
      </w:pPr>
      <w:r>
        <w:rPr>
          <w:b/>
          <w:bCs/>
          <w:color w:val="209FD7"/>
          <w:sz w:val="22"/>
          <w:szCs w:val="22"/>
          <w:rFonts w:ascii="Kanit" w:cs="Kanit" w:eastAsia="Kanit" w:hAnsi="Kanit"/>
        </w:rPr>
        <w:t xml:space="preserve">Cluster A — Strategy &amp; Planning (Awareness-Stage)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How much should I spend on Google Ads in Australia?</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benchmarks by industry (2026 Australian edition)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vs Facebook Ads: which is right for Australian SMBs?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When Google Ads fails: 7 prerequisites your business must meet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Performance Max vs Search campaigns: an Australian SMB's decision guide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ROI calculator — what "good" actually looks like in AUD</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Setting your first Google Ads budget: a 30-minute framework</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Seasonal Google Ads strategy for Australian retail (EOFY, Boxing Day, Black Friday)</w:t>
      </w:r>
    </w:p>
    <w:p>
      <w:pPr>
        <w:spacing w:before="180" w:after="80"/>
      </w:pPr>
      <w:r>
        <w:rPr>
          <w:b/>
          <w:bCs/>
          <w:color w:val="209FD7"/>
          <w:sz w:val="22"/>
          <w:szCs w:val="22"/>
          <w:rFonts w:ascii="Kanit" w:cs="Kanit" w:eastAsia="Kanit" w:hAnsi="Kanit"/>
        </w:rPr>
        <w:t xml:space="preserve">Cluster B — Campaign Structure &amp; Execution (Consideration-Stage)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account structure for small businesses (the SKAG vs STAG debate)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Keyword match types in 2026: what still works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Negative keyword lists every Australian industry needs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Writing Google Ads copy that gets a 6%+ CTR</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Responsive Search Ads vs Expanded Text Ads: what replaced what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Quality Score optimisation: the 3 levers that actually move the needle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Bid strategies explained: Maximize Conversions vs tCPA vs Manual CPC</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Setting up conversion tracking correctly (GA4 + Google Ads integration)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audience targeting for Australian SMBs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Location targeting deep-dive: radius, postcode, DMA</w:t>
      </w:r>
    </w:p>
    <w:p>
      <w:pPr>
        <w:spacing w:before="180" w:after="80"/>
      </w:pPr>
      <w:r>
        <w:rPr>
          <w:b/>
          <w:bCs/>
          <w:color w:val="209FD7"/>
          <w:sz w:val="22"/>
          <w:szCs w:val="22"/>
          <w:rFonts w:ascii="Kanit" w:cs="Kanit" w:eastAsia="Kanit" w:hAnsi="Kanit"/>
        </w:rPr>
        <w:t xml:space="preserve">Cluster C — Optimization &amp; Measurement (Decision-Stage)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The weekly Google Ads audit: 12-point checklist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performance diagnostics: why your conversions dropped</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A/B testing ad copy the right way</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Landing page + Google Ads: the 9 quality signals that reduce your CPC</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Attribution in Google Ads: last-click vs data-driven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reporting for non-marketers (what to show your CEO)</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Scaling Google Ads from $3K to $30K/month</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Hiring a Google Ads agency: 15 questions to ask</w:t>
      </w:r>
    </w:p>
    <w:p>
      <w:pPr>
        <w:spacing w:before="180" w:after="80"/>
      </w:pPr>
      <w:r>
        <w:rPr>
          <w:b/>
          <w:bCs/>
          <w:color w:val="209FD7"/>
          <w:sz w:val="22"/>
          <w:szCs w:val="22"/>
          <w:rFonts w:ascii="Kanit" w:cs="Kanit" w:eastAsia="Kanit" w:hAnsi="Kanit"/>
        </w:rPr>
        <w:t xml:space="preserve">Cluster D — Industry Deep-Dives (Vertical Authority Content)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for Australian home services (plumbing, electrical, HVAC)</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for dental practices in Australia</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for personal injury &amp; family law firms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for real estate agencies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for eCommerce brands (Shopify, WooCommerce)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for trades and construction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for hospitality and restaurants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for health and fitness studios</w:t>
      </w:r>
    </w:p>
    <w:tbl>
      <w:tblPr>
        <w:tblW w:type="pct" w:w="100%"/>
        <w:tblBorders>
          <w:top w:val="none"/>
          <w:left w:val="none"/>
          <w:bottom w:val="none"/>
          <w:right w:val="none"/>
          <w:insideH w:val="none"/>
          <w:insideV w:val="none"/>
        </w:tblBorders>
      </w:tblPr>
      <w:tblGrid>
        <w:gridCol w:w="100"/>
      </w:tblGrid>
      <w:tr>
        <w:tc>
          <w:tcPr>
            <w:tcBorders>
              <w:top w:val="single" w:color="DFEEF4" w:sz="4"/>
              <w:left w:val="single" w:color="209FD7" w:sz="32"/>
              <w:bottom w:val="single" w:color="DFEEF4" w:sz="4"/>
              <w:right w:val="single" w:color="DFEEF4" w:sz="4"/>
            </w:tcBorders>
            <w:shd w:fill="F9FBFF" w:val="clear"/>
            <w:tcMar>
              <w:top w:type="dxa" w:w="180"/>
              <w:left w:type="dxa" w:w="240"/>
              <w:bottom w:type="dxa" w:w="180"/>
              <w:right w:type="dxa" w:w="240"/>
            </w:tcMar>
          </w:tcPr>
          <w:p>
            <w:pPr>
              <w:spacing w:before="0" w:after="60"/>
            </w:pPr>
            <w:r>
              <w:rPr>
                <w:b/>
                <w:bCs/>
                <w:color w:val="072032"/>
                <w:sz w:val="22"/>
                <w:szCs w:val="22"/>
                <w:rFonts w:ascii="Kanit" w:cs="Kanit" w:eastAsia="Kanit" w:hAnsi="Kanit"/>
              </w:rPr>
              <w:t xml:space="preserve">Interlinking Rule</w:t>
            </w:r>
          </w:p>
          <w:p>
            <w:pPr>
              <w:spacing w:before="0" w:after="0" w:line="280"/>
            </w:pPr>
            <w:r>
              <w:rPr>
                <w:color w:val="121212"/>
                <w:sz w:val="20"/>
                <w:szCs w:val="20"/>
                <w:rFonts w:ascii="Montserrat" w:cs="Montserrat" w:eastAsia="Montserrat" w:hAnsi="Montserrat"/>
              </w:rPr>
              <w:t xml:space="preserve">Every cluster article links UP to the pillar once in the intro and once in the conclusion. Every pillar section links DOWN to 1–2 relevant cluster articles. Every cluster article links SIDEWAYS to 2–3 sibling cluster articles. This is non-negotiable — it is how the pillar model actually works.</w:t>
            </w:r>
          </w:p>
        </w:tc>
      </w:tr>
    </w:tbl>
    <w:p>
      <w:r>
        <w:br w:type="page"/>
      </w:r>
    </w:p>
    <w:p>
      <w:pPr>
        <w:spacing w:before="480" w:after="240"/>
        <w:jc w:val="left"/>
      </w:pPr>
      <w:r>
        <w:rPr>
          <w:b/>
          <w:bCs/>
          <w:color w:val="072032"/>
          <w:sz w:val="44"/>
          <w:szCs w:val="44"/>
          <w:rFonts w:ascii="Kanit" w:cs="Kanit" w:eastAsia="Kanit" w:hAnsi="Kanit"/>
        </w:rPr>
        <w:t xml:space="preserve">5. SEO Keyword Strategy</w:t>
      </w:r>
    </w:p>
    <w:p>
      <w:pPr>
        <w:spacing w:before="80" w:after="80" w:line="300"/>
        <w:jc w:val="left"/>
      </w:pPr>
      <w:r>
        <w:rPr>
          <w:b w:val="false"/>
          <w:bCs w:val="false"/>
          <w:i w:val="false"/>
          <w:iCs w:val="false"/>
          <w:color w:val="121212"/>
          <w:sz w:val="20"/>
          <w:szCs w:val="20"/>
          <w:rFonts w:ascii="Montserrat" w:cs="Montserrat" w:eastAsia="Montserrat" w:hAnsi="Montserrat"/>
        </w:rPr>
        <w:t xml:space="preserve">Keyword selection is split into three intent buckets. Each piece of content targets one primary keyword and 3–5 semantic variants. Priority scoring considers Australian search volume, commercial intent, and competitive difficulty based on ahrefs/SEMrush benchmarks for the .au market.</w:t>
      </w:r>
    </w:p>
    <w:p>
      <w:pPr>
        <w:spacing w:before="240" w:after="100"/>
      </w:pPr>
      <w:r>
        <w:rPr>
          <w:b/>
          <w:bCs/>
          <w:color w:val="23282D"/>
          <w:sz w:val="26"/>
          <w:szCs w:val="26"/>
          <w:rFonts w:ascii="Kanit" w:cs="Kanit" w:eastAsia="Kanit" w:hAnsi="Kanit"/>
        </w:rPr>
        <w:t xml:space="preserve">5.1 Pillar Page Target Keywords</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gridCol w:w="100"/>
        <w:gridCol w:w="100"/>
        <w:gridCol w:w="100"/>
      </w:tblGrid>
      <w:tr>
        <w:tc>
          <w:tcPr>
            <w:tcW w:type="pct" w:w="4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Keyword</w:t>
            </w:r>
          </w:p>
        </w:tc>
        <w:tc>
          <w:tcPr>
            <w:tcW w:type="pct" w:w="18%"/>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AU Monthly Vol.</w:t>
            </w:r>
          </w:p>
        </w:tc>
        <w:tc>
          <w:tcPr>
            <w:tcW w:type="pct" w:w="1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Intent</w:t>
            </w:r>
          </w:p>
        </w:tc>
        <w:tc>
          <w:tcPr>
            <w:tcW w:type="pct" w:w="12%"/>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Difficulty</w:t>
            </w:r>
          </w:p>
        </w:tc>
        <w:tc>
          <w:tcPr>
            <w:tcW w:type="pct" w:w="1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Priority</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management</w:t>
            </w:r>
          </w:p>
        </w:tc>
        <w:tc>
          <w:tcPr>
            <w:tcW w:type="pct" w:w="1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2,400</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Commercial</w:t>
            </w:r>
          </w:p>
        </w:tc>
        <w:tc>
          <w:tcPr>
            <w:tcW w:type="pct" w:w="1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High (62)</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P0 — Head Term</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agency australia</w:t>
            </w:r>
          </w:p>
        </w:tc>
        <w:tc>
          <w:tcPr>
            <w:tcW w:type="pct" w:w="18%"/>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720</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Commercial</w:t>
            </w:r>
          </w:p>
        </w:tc>
        <w:tc>
          <w:tcPr>
            <w:tcW w:type="pct" w:w="12%"/>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Medium (48)</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P0</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management melbourne</w:t>
            </w:r>
          </w:p>
        </w:tc>
        <w:tc>
          <w:tcPr>
            <w:tcW w:type="pct" w:w="1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390</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Local-Commercial</w:t>
            </w:r>
          </w:p>
        </w:tc>
        <w:tc>
          <w:tcPr>
            <w:tcW w:type="pct" w:w="1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Low (31)</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P0 — Quick Win</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services</w:t>
            </w:r>
          </w:p>
        </w:tc>
        <w:tc>
          <w:tcPr>
            <w:tcW w:type="pct" w:w="18%"/>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590</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Commercial</w:t>
            </w:r>
          </w:p>
        </w:tc>
        <w:tc>
          <w:tcPr>
            <w:tcW w:type="pct" w:w="12%"/>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Medium (44)</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P1</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specialist</w:t>
            </w:r>
          </w:p>
        </w:tc>
        <w:tc>
          <w:tcPr>
            <w:tcW w:type="pct" w:w="1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480</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Commercial</w:t>
            </w:r>
          </w:p>
        </w:tc>
        <w:tc>
          <w:tcPr>
            <w:tcW w:type="pct" w:w="1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Medium (41)</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P1</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adwords management</w:t>
            </w:r>
          </w:p>
        </w:tc>
        <w:tc>
          <w:tcPr>
            <w:tcW w:type="pct" w:w="18%"/>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210</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Commercial</w:t>
            </w:r>
          </w:p>
        </w:tc>
        <w:tc>
          <w:tcPr>
            <w:tcW w:type="pct" w:w="12%"/>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Low (28)</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P1 — Legacy</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ppc agency melbourne</w:t>
            </w:r>
          </w:p>
        </w:tc>
        <w:tc>
          <w:tcPr>
            <w:tcW w:type="pct" w:w="1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260</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Commercial</w:t>
            </w:r>
          </w:p>
        </w:tc>
        <w:tc>
          <w:tcPr>
            <w:tcW w:type="pct" w:w="1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Low (33)</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P1</w:t>
            </w:r>
          </w:p>
        </w:tc>
      </w:tr>
    </w:tbl>
    <w:p>
      <w:pPr>
        <w:spacing w:before="240" w:after="100"/>
      </w:pPr>
      <w:r>
        <w:rPr>
          <w:b/>
          <w:bCs/>
          <w:color w:val="23282D"/>
          <w:sz w:val="26"/>
          <w:szCs w:val="26"/>
          <w:rFonts w:ascii="Kanit" w:cs="Kanit" w:eastAsia="Kanit" w:hAnsi="Kanit"/>
        </w:rPr>
        <w:t xml:space="preserve">5.2 Cluster Content Keyword Mapping (Sample — Full Set in Appendix)</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gridCol w:w="100"/>
        <w:gridCol w:w="100"/>
      </w:tblGrid>
      <w:tr>
        <w:tc>
          <w:tcPr>
            <w:tcW w:type="pct" w:w="4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Content Asset</w:t>
            </w:r>
          </w:p>
        </w:tc>
        <w:tc>
          <w:tcPr>
            <w:tcW w:type="pct" w:w="3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Primary Keyword</w:t>
            </w:r>
          </w:p>
        </w:tc>
        <w:tc>
          <w:tcPr>
            <w:tcW w:type="pct" w:w="14%"/>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AU Vol.</w:t>
            </w:r>
          </w:p>
        </w:tc>
        <w:tc>
          <w:tcPr>
            <w:tcW w:type="pct" w:w="16%"/>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Cluster</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Budget Calculator Guide</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how much to spend on google ads</w:t>
            </w:r>
          </w:p>
        </w:tc>
        <w:tc>
          <w:tcPr>
            <w:tcW w:type="pct" w:w="14%"/>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590</w:t>
            </w:r>
          </w:p>
        </w:tc>
        <w:tc>
          <w:tcPr>
            <w:tcW w:type="pct" w:w="16%"/>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 — Strategy</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Benchmarks 2026 AU</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benchmarks australia</w:t>
            </w:r>
          </w:p>
        </w:tc>
        <w:tc>
          <w:tcPr>
            <w:tcW w:type="pct" w:w="14%"/>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210</w:t>
            </w:r>
          </w:p>
        </w:tc>
        <w:tc>
          <w:tcPr>
            <w:tcW w:type="pct" w:w="16%"/>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 — Strategy</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Performance Max vs Search</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performance max vs search</w:t>
            </w:r>
          </w:p>
        </w:tc>
        <w:tc>
          <w:tcPr>
            <w:tcW w:type="pct" w:w="14%"/>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480</w:t>
            </w:r>
          </w:p>
        </w:tc>
        <w:tc>
          <w:tcPr>
            <w:tcW w:type="pct" w:w="16%"/>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 — Strategy</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Account Structure</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account structure</w:t>
            </w:r>
          </w:p>
        </w:tc>
        <w:tc>
          <w:tcPr>
            <w:tcW w:type="pct" w:w="14%"/>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390</w:t>
            </w:r>
          </w:p>
        </w:tc>
        <w:tc>
          <w:tcPr>
            <w:tcW w:type="pct" w:w="16%"/>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 — Execution</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Negative Keywords Australia</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negative keywords google ads</w:t>
            </w:r>
          </w:p>
        </w:tc>
        <w:tc>
          <w:tcPr>
            <w:tcW w:type="pct" w:w="14%"/>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720</w:t>
            </w:r>
          </w:p>
        </w:tc>
        <w:tc>
          <w:tcPr>
            <w:tcW w:type="pct" w:w="16%"/>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 — Execution</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Quality Score Deep-Dive</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quality score</w:t>
            </w:r>
          </w:p>
        </w:tc>
        <w:tc>
          <w:tcPr>
            <w:tcW w:type="pct" w:w="14%"/>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1,300</w:t>
            </w:r>
          </w:p>
        </w:tc>
        <w:tc>
          <w:tcPr>
            <w:tcW w:type="pct" w:w="16%"/>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 — Execution</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Weekly Audit Checklist</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audit</w:t>
            </w:r>
          </w:p>
        </w:tc>
        <w:tc>
          <w:tcPr>
            <w:tcW w:type="pct" w:w="14%"/>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320</w:t>
            </w:r>
          </w:p>
        </w:tc>
        <w:tc>
          <w:tcPr>
            <w:tcW w:type="pct" w:w="16%"/>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 — Optimization</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Scaling from $3K to $30K</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scaling google ads</w:t>
            </w:r>
          </w:p>
        </w:tc>
        <w:tc>
          <w:tcPr>
            <w:tcW w:type="pct" w:w="14%"/>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140</w:t>
            </w:r>
          </w:p>
        </w:tc>
        <w:tc>
          <w:tcPr>
            <w:tcW w:type="pct" w:w="16%"/>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 — Optimization</w:t>
            </w:r>
          </w:p>
        </w:tc>
      </w:tr>
      <w:tr>
        <w:tc>
          <w:tcPr>
            <w:tcW w:type="pct" w:w="4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for Plumbers AU</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for plumbers</w:t>
            </w:r>
          </w:p>
        </w:tc>
        <w:tc>
          <w:tcPr>
            <w:tcW w:type="pct" w:w="14%"/>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170</w:t>
            </w:r>
          </w:p>
        </w:tc>
        <w:tc>
          <w:tcPr>
            <w:tcW w:type="pct" w:w="16%"/>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 — Vertical</w:t>
            </w:r>
          </w:p>
        </w:tc>
      </w:tr>
      <w:tr>
        <w:tc>
          <w:tcPr>
            <w:tcW w:type="pct" w:w="4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for Dentists AU</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for dentists australia</w:t>
            </w:r>
          </w:p>
        </w:tc>
        <w:tc>
          <w:tcPr>
            <w:tcW w:type="pct" w:w="14%"/>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140</w:t>
            </w:r>
          </w:p>
        </w:tc>
        <w:tc>
          <w:tcPr>
            <w:tcW w:type="pct" w:w="16%"/>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 — Vertical</w:t>
            </w:r>
          </w:p>
        </w:tc>
      </w:tr>
    </w:tbl>
    <w:p>
      <w:pPr>
        <w:spacing w:before="240" w:after="100"/>
      </w:pPr>
      <w:r>
        <w:rPr>
          <w:b/>
          <w:bCs/>
          <w:color w:val="23282D"/>
          <w:sz w:val="26"/>
          <w:szCs w:val="26"/>
          <w:rFonts w:ascii="Kanit" w:cs="Kanit" w:eastAsia="Kanit" w:hAnsi="Kanit"/>
        </w:rPr>
        <w:t xml:space="preserve">5.3 Long-Tail &amp; Question Keywords (Featured Snippet Targets)</w:t>
      </w:r>
    </w:p>
    <w:p>
      <w:pPr>
        <w:spacing w:before="80" w:after="80" w:line="300"/>
        <w:jc w:val="left"/>
      </w:pPr>
      <w:r>
        <w:rPr>
          <w:b w:val="false"/>
          <w:bCs w:val="false"/>
          <w:i w:val="false"/>
          <w:iCs w:val="false"/>
          <w:color w:val="121212"/>
          <w:sz w:val="20"/>
          <w:szCs w:val="20"/>
          <w:rFonts w:ascii="Montserrat" w:cs="Montserrat" w:eastAsia="Montserrat" w:hAnsi="Montserrat"/>
        </w:rPr>
        <w:t xml:space="preserve">These are low-volume but high-intent queries that we cluster into FAQ sections across the pillar and cluster articles. Each one is an opportunity to own a Google "People Also Ask" box.</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"is google ads worth it for small business australia"</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"what is a good cost per click in australia"</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"how long does google ads take to work"</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"can i run google ads myself"</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"what does a google ads agency actually do"</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"how much does google ads management cost in australia"</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conversion rate benchmarks australia"</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"what industries have the highest cpc in australia"</w:t>
      </w:r>
    </w:p>
    <w:p>
      <w:r>
        <w:br w:type="page"/>
      </w:r>
    </w:p>
    <w:p>
      <w:pPr>
        <w:spacing w:before="480" w:after="240"/>
        <w:jc w:val="left"/>
      </w:pPr>
      <w:r>
        <w:rPr>
          <w:b/>
          <w:bCs/>
          <w:color w:val="072032"/>
          <w:sz w:val="44"/>
          <w:szCs w:val="44"/>
          <w:rFonts w:ascii="Kanit" w:cs="Kanit" w:eastAsia="Kanit" w:hAnsi="Kanit"/>
        </w:rPr>
        <w:t xml:space="preserve">6. Content Formats &amp; Asset Inventory</w:t>
      </w:r>
    </w:p>
    <w:p>
      <w:pPr>
        <w:spacing w:before="80" w:after="80" w:line="300"/>
        <w:jc w:val="left"/>
      </w:pPr>
      <w:r>
        <w:rPr>
          <w:b w:val="false"/>
          <w:bCs w:val="false"/>
          <w:i w:val="false"/>
          <w:iCs w:val="false"/>
          <w:color w:val="121212"/>
          <w:sz w:val="20"/>
          <w:szCs w:val="20"/>
          <w:rFonts w:ascii="Montserrat" w:cs="Montserrat" w:eastAsia="Montserrat" w:hAnsi="Montserrat"/>
        </w:rPr>
        <w:t xml:space="preserve">The content marketing programme produces nine distinct asset types, each serving a specific funnel stage and distribution channel. The mix is designed for maximum reuse — one research-heavy pillar update feeds 6–8 derivative assets.</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gridCol w:w="100"/>
        <w:gridCol w:w="100"/>
        <w:gridCol w:w="100"/>
      </w:tblGrid>
      <w:tr>
        <w:tc>
          <w:tcPr>
            <w:tcW w:type="pct" w:w="22%"/>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Asset Type</w:t>
            </w:r>
          </w:p>
        </w:tc>
        <w:tc>
          <w:tcPr>
            <w:tcW w:type="pct" w:w="13%"/>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Monthly Output</w:t>
            </w:r>
          </w:p>
        </w:tc>
        <w:tc>
          <w:tcPr>
            <w:tcW w:type="pct" w:w="1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Funnel Stage</w:t>
            </w:r>
          </w:p>
        </w:tc>
        <w:tc>
          <w:tcPr>
            <w:tcW w:type="pct" w:w="2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Primary Channel</w:t>
            </w:r>
          </w:p>
        </w:tc>
        <w:tc>
          <w:tcPr>
            <w:tcW w:type="pct" w:w="2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Purpose</w:t>
            </w:r>
          </w:p>
        </w:tc>
      </w:tr>
      <w:tr>
        <w:tc>
          <w:tcPr>
            <w:tcW w:type="pct" w:w="2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Pillar Page Refresh</w:t>
            </w:r>
          </w:p>
        </w:tc>
        <w:tc>
          <w:tcPr>
            <w:tcW w:type="pct" w:w="13%"/>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 quarterly</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TOFU/MOFU</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Organic Search</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Topical authority anchor</w:t>
            </w:r>
          </w:p>
        </w:tc>
      </w:tr>
      <w:tr>
        <w:tc>
          <w:tcPr>
            <w:tcW w:type="pct" w:w="22%"/>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Long-form Blog (2,000w+)</w:t>
            </w:r>
          </w:p>
        </w:tc>
        <w:tc>
          <w:tcPr>
            <w:tcW w:type="pct" w:w="13%"/>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TOFU</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Organic Search, Email</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Drive organic, capture emails</w:t>
            </w:r>
          </w:p>
        </w:tc>
      </w:tr>
      <w:tr>
        <w:tc>
          <w:tcPr>
            <w:tcW w:type="pct" w:w="2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Mid-form Blog (1,000w)</w:t>
            </w:r>
          </w:p>
        </w:tc>
        <w:tc>
          <w:tcPr>
            <w:tcW w:type="pct" w:w="13%"/>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TOFU/MOFU</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Organic Search, LinkedIn</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Long-tail keyword coverage</w:t>
            </w:r>
          </w:p>
        </w:tc>
      </w:tr>
      <w:tr>
        <w:tc>
          <w:tcPr>
            <w:tcW w:type="pct" w:w="22%"/>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Data Report</w:t>
            </w:r>
          </w:p>
        </w:tc>
        <w:tc>
          <w:tcPr>
            <w:tcW w:type="pct" w:w="13%"/>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 quarterly</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MOFU</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PR, Email, Paid Boost</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Backlink magnet + MQL generator</w:t>
            </w:r>
          </w:p>
        </w:tc>
      </w:tr>
      <w:tr>
        <w:tc>
          <w:tcPr>
            <w:tcW w:type="pct" w:w="2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Case Study</w:t>
            </w:r>
          </w:p>
        </w:tc>
        <w:tc>
          <w:tcPr>
            <w:tcW w:type="pct" w:w="13%"/>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MOFU/BOFU</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Email, Sales Enablement</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Proof + conversion asset</w:t>
            </w:r>
          </w:p>
        </w:tc>
      </w:tr>
      <w:tr>
        <w:tc>
          <w:tcPr>
            <w:tcW w:type="pct" w:w="22%"/>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Interactive Tool/Calc</w:t>
            </w:r>
          </w:p>
        </w:tc>
        <w:tc>
          <w:tcPr>
            <w:tcW w:type="pct" w:w="13%"/>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 quarterly</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MOFU</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Organic, Paid, Email</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Lead magnet + link magnet</w:t>
            </w:r>
          </w:p>
        </w:tc>
      </w:tr>
      <w:tr>
        <w:tc>
          <w:tcPr>
            <w:tcW w:type="pct" w:w="2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Video (5–10 min)</w:t>
            </w:r>
          </w:p>
        </w:tc>
        <w:tc>
          <w:tcPr>
            <w:tcW w:type="pct" w:w="13%"/>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TOFU/MOFU</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YouTube, LinkedIn, Page</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Dwell time + YouTube SEO</w:t>
            </w:r>
          </w:p>
        </w:tc>
      </w:tr>
      <w:tr>
        <w:tc>
          <w:tcPr>
            <w:tcW w:type="pct" w:w="22%"/>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Email Newsletter</w:t>
            </w:r>
          </w:p>
        </w:tc>
        <w:tc>
          <w:tcPr>
            <w:tcW w:type="pct" w:w="13%"/>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 (weekly)</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MOFU</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Email list</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Nurture + re-engagement</w:t>
            </w:r>
          </w:p>
        </w:tc>
      </w:tr>
      <w:tr>
        <w:tc>
          <w:tcPr>
            <w:tcW w:type="pct" w:w="22%"/>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LinkedIn Post</w:t>
            </w:r>
          </w:p>
        </w:tc>
        <w:tc>
          <w:tcPr>
            <w:tcW w:type="pct" w:w="13%"/>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12 (3/wk)</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TOFU</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LinkedIn</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Thought leadership distribution</w:t>
            </w:r>
          </w:p>
        </w:tc>
      </w:tr>
    </w:tbl>
    <w:p>
      <w:pPr>
        <w:spacing w:before="240" w:after="100"/>
      </w:pPr>
      <w:r>
        <w:rPr>
          <w:b/>
          <w:bCs/>
          <w:color w:val="23282D"/>
          <w:sz w:val="26"/>
          <w:szCs w:val="26"/>
          <w:rFonts w:ascii="Kanit" w:cs="Kanit" w:eastAsia="Kanit" w:hAnsi="Kanit"/>
        </w:rPr>
        <w:t xml:space="preserve">6.1 Signature Asset — The Australian Google Ads Benchmark Report</w:t>
      </w:r>
    </w:p>
    <w:p>
      <w:pPr>
        <w:spacing w:before="80" w:after="80" w:line="300"/>
        <w:jc w:val="left"/>
      </w:pPr>
      <w:r>
        <w:rPr>
          <w:b w:val="false"/>
          <w:bCs w:val="false"/>
          <w:i w:val="false"/>
          <w:iCs w:val="false"/>
          <w:color w:val="121212"/>
          <w:sz w:val="20"/>
          <w:szCs w:val="20"/>
          <w:rFonts w:ascii="Montserrat" w:cs="Montserrat" w:eastAsia="Montserrat" w:hAnsi="Montserrat"/>
        </w:rPr>
        <w:t xml:space="preserve">Our annual flagship content asset, designed to become the definitive AU-specific reference for Google Ads performance metrics. Published in Q4 2026, it directly counters the US-centric WordStream benchmarks that currently dominate SERPs for Australian search queries.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Source: TrafficRadius client portfolio (200+ accounts), anonymised and aggregated.</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Format: 40-page PDF + interactive HTML companion + pillar-linked summary page.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Use cases: PR outreach, backlink acquisition, sales enablement, LinkedIn content seed.</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Expected outputs: 80+ referring domains, 15+ earned media mentions, 400+ lead magnet downloads.</w:t>
      </w:r>
    </w:p>
    <w:p>
      <w:pPr>
        <w:spacing w:before="240" w:after="100"/>
      </w:pPr>
      <w:r>
        <w:rPr>
          <w:b/>
          <w:bCs/>
          <w:color w:val="23282D"/>
          <w:sz w:val="26"/>
          <w:szCs w:val="26"/>
          <w:rFonts w:ascii="Kanit" w:cs="Kanit" w:eastAsia="Kanit" w:hAnsi="Kanit"/>
        </w:rPr>
        <w:t xml:space="preserve">6.2 Existing Assets to Fold Into the Cluster</w:t>
      </w:r>
    </w:p>
    <w:p>
      <w:pPr>
        <w:spacing w:before="80" w:after="80" w:line="300"/>
        <w:jc w:val="left"/>
      </w:pPr>
      <w:r>
        <w:rPr>
          <w:b w:val="false"/>
          <w:bCs w:val="false"/>
          <w:i w:val="false"/>
          <w:iCs w:val="false"/>
          <w:color w:val="121212"/>
          <w:sz w:val="20"/>
          <w:szCs w:val="20"/>
          <w:rFonts w:ascii="Montserrat" w:cs="Montserrat" w:eastAsia="Montserrat" w:hAnsi="Montserrat"/>
        </w:rPr>
        <w:t xml:space="preserve">Phase 1 deliverables are already in-market and will be interlinked into this new architecture: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ROI Calculator (HTML, v2 framework) — Cluster A primary tool</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Blog: "How Much Should You Spend on Google Ads?" — Cluster A pillar sub-topic</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Funnel Content (TOFU/MOFU/BOFU) — becomes email sequence source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ICP Solution-Aware document — sales enablement artefact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Landing Page (HTML) — paid traffic destination, linked from cluster CTAs</w:t>
      </w:r>
    </w:p>
    <w:p>
      <w:r>
        <w:br w:type="page"/>
      </w:r>
    </w:p>
    <w:p>
      <w:pPr>
        <w:spacing w:before="480" w:after="240"/>
        <w:jc w:val="left"/>
      </w:pPr>
      <w:r>
        <w:rPr>
          <w:b/>
          <w:bCs/>
          <w:color w:val="072032"/>
          <w:sz w:val="44"/>
          <w:szCs w:val="44"/>
          <w:rFonts w:ascii="Kanit" w:cs="Kanit" w:eastAsia="Kanit" w:hAnsi="Kanit"/>
        </w:rPr>
        <w:t xml:space="preserve">7. 12-Week Editorial Calendar</w:t>
      </w:r>
    </w:p>
    <w:p>
      <w:pPr>
        <w:spacing w:before="80" w:after="80" w:line="300"/>
        <w:jc w:val="left"/>
      </w:pPr>
      <w:r>
        <w:rPr>
          <w:b w:val="false"/>
          <w:bCs w:val="false"/>
          <w:i w:val="false"/>
          <w:iCs w:val="false"/>
          <w:color w:val="121212"/>
          <w:sz w:val="20"/>
          <w:szCs w:val="20"/>
          <w:rFonts w:ascii="Montserrat" w:cs="Montserrat" w:eastAsia="Montserrat" w:hAnsi="Montserrat"/>
        </w:rPr>
        <w:t xml:space="preserve">The calendar below covers Q2 2026 (Apr 20 – Jul 12). It reflects our content production capacity of roughly 2 long-form pieces, 2 mid-form pieces, 1 video, and 3 LinkedIn posts per week. Weekly newsletter is separate.</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gridCol w:w="100"/>
        <w:gridCol w:w="100"/>
        <w:gridCol w:w="100"/>
      </w:tblGrid>
      <w:tr>
        <w:tc>
          <w:tcPr>
            <w:tcW w:type="pct" w:w="8%"/>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Week</w:t>
            </w:r>
          </w:p>
        </w:tc>
        <w:tc>
          <w:tcPr>
            <w:tcW w:type="pct" w:w="3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Long-Form Asset</w:t>
            </w:r>
          </w:p>
        </w:tc>
        <w:tc>
          <w:tcPr>
            <w:tcW w:type="pct" w:w="27%"/>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Mid-Form / Cluster</w:t>
            </w:r>
          </w:p>
        </w:tc>
        <w:tc>
          <w:tcPr>
            <w:tcW w:type="pct" w:w="2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Video / Tool</w:t>
            </w:r>
          </w:p>
        </w:tc>
        <w:tc>
          <w:tcPr>
            <w:tcW w:type="pct" w:w="1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Cluster</w:t>
            </w:r>
          </w:p>
        </w:tc>
      </w:tr>
      <w:tr>
        <w:tc>
          <w:tcPr>
            <w:tcW w:type="pct" w:w="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W1</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Benchmarks AU — Interim Update</w:t>
            </w:r>
          </w:p>
        </w:tc>
        <w:tc>
          <w:tcPr>
            <w:tcW w:type="pct" w:w="27%"/>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How to Read Google Ads Benchmarks</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Pillar intro video (3 min)</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w:t>
            </w:r>
          </w:p>
        </w:tc>
      </w:tr>
      <w:tr>
        <w:tc>
          <w:tcPr>
            <w:tcW w:type="pct" w:w="8%"/>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W2</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Performance Max vs Search: The AU SMB Decision Guide</w:t>
            </w:r>
          </w:p>
        </w:tc>
        <w:tc>
          <w:tcPr>
            <w:tcW w:type="pct" w:w="27%"/>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What is Performance Max?</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w:t>
            </w:r>
          </w:p>
        </w:tc>
      </w:tr>
      <w:tr>
        <w:tc>
          <w:tcPr>
            <w:tcW w:type="pct" w:w="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W3</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Budget Framework (30-min)</w:t>
            </w:r>
          </w:p>
        </w:tc>
        <w:tc>
          <w:tcPr>
            <w:tcW w:type="pct" w:w="27%"/>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Budget Calculator Tutorial</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Budget tool walkthrough video</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w:t>
            </w:r>
          </w:p>
        </w:tc>
      </w:tr>
      <w:tr>
        <w:tc>
          <w:tcPr>
            <w:tcW w:type="pct" w:w="8%"/>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W4</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Account Structure Deep-Dive</w:t>
            </w:r>
          </w:p>
        </w:tc>
        <w:tc>
          <w:tcPr>
            <w:tcW w:type="pct" w:w="27%"/>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SKAG vs STAG Today</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w:t>
            </w:r>
          </w:p>
        </w:tc>
      </w:tr>
      <w:tr>
        <w:tc>
          <w:tcPr>
            <w:tcW w:type="pct" w:w="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W5</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Quality Score: The 3 Levers That Move the Needle</w:t>
            </w:r>
          </w:p>
        </w:tc>
        <w:tc>
          <w:tcPr>
            <w:tcW w:type="pct" w:w="27%"/>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Quality Score Myths</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Quality Score video (7 min)</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w:t>
            </w:r>
          </w:p>
        </w:tc>
      </w:tr>
      <w:tr>
        <w:tc>
          <w:tcPr>
            <w:tcW w:type="pct" w:w="8%"/>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W6</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Negative Keyword Lists by Industry (AU)</w:t>
            </w:r>
          </w:p>
        </w:tc>
        <w:tc>
          <w:tcPr>
            <w:tcW w:type="pct" w:w="27%"/>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The 50 Most Common Negative Keywords</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w:t>
            </w:r>
          </w:p>
        </w:tc>
      </w:tr>
      <w:tr>
        <w:tc>
          <w:tcPr>
            <w:tcW w:type="pct" w:w="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W7</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Writing Google Ads Copy for 6%+ CTR</w:t>
            </w:r>
          </w:p>
        </w:tc>
        <w:tc>
          <w:tcPr>
            <w:tcW w:type="pct" w:w="27%"/>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RSA Best Practices 2026</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Ad copy swipe file (PDF)</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w:t>
            </w:r>
          </w:p>
        </w:tc>
      </w:tr>
      <w:tr>
        <w:tc>
          <w:tcPr>
            <w:tcW w:type="pct" w:w="8%"/>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W8</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The Weekly Google Ads Audit — 12-Point Checklist</w:t>
            </w:r>
          </w:p>
        </w:tc>
        <w:tc>
          <w:tcPr>
            <w:tcW w:type="pct" w:w="27%"/>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Audit Tool Launch</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Interactive Audit Tool (HTML)</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w:t>
            </w:r>
          </w:p>
        </w:tc>
      </w:tr>
      <w:tr>
        <w:tc>
          <w:tcPr>
            <w:tcW w:type="pct" w:w="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W9</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Scaling Google Ads from $3K to $30K/mo</w:t>
            </w:r>
          </w:p>
        </w:tc>
        <w:tc>
          <w:tcPr>
            <w:tcW w:type="pct" w:w="27%"/>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Scaling Case Study (Home Services)</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w:t>
            </w:r>
          </w:p>
        </w:tc>
      </w:tr>
      <w:tr>
        <w:tc>
          <w:tcPr>
            <w:tcW w:type="pct" w:w="8%"/>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W10</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for Australian Plumbers</w:t>
            </w:r>
          </w:p>
        </w:tc>
        <w:tc>
          <w:tcPr>
            <w:tcW w:type="pct" w:w="27%"/>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Plumber Keyword Research</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Plumber campaign video (5 min)</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w:t>
            </w:r>
          </w:p>
        </w:tc>
      </w:tr>
      <w:tr>
        <w:tc>
          <w:tcPr>
            <w:tcW w:type="pct" w:w="8%"/>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W11</w:t>
            </w:r>
          </w:p>
        </w:tc>
        <w:tc>
          <w:tcPr>
            <w:tcW w:type="pct" w:w="3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Ads for Australian Dentists</w:t>
            </w:r>
          </w:p>
        </w:tc>
        <w:tc>
          <w:tcPr>
            <w:tcW w:type="pct" w:w="27%"/>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Dental ROI Deep-Dive</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t>
            </w:r>
          </w:p>
        </w:tc>
        <w:tc>
          <w:tcPr>
            <w:tcW w:type="pct" w:w="1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w:t>
            </w:r>
          </w:p>
        </w:tc>
      </w:tr>
      <w:tr>
        <w:tc>
          <w:tcPr>
            <w:tcW w:type="pct" w:w="8%"/>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W12</w:t>
            </w:r>
          </w:p>
        </w:tc>
        <w:tc>
          <w:tcPr>
            <w:tcW w:type="pct" w:w="3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Hiring a Google Ads Agency: 15 Questions</w:t>
            </w:r>
          </w:p>
        </w:tc>
        <w:tc>
          <w:tcPr>
            <w:tcW w:type="pct" w:w="27%"/>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Agency Red Flags Checklist</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Agency comparison video</w:t>
            </w:r>
          </w:p>
        </w:tc>
        <w:tc>
          <w:tcPr>
            <w:tcW w:type="pct" w:w="1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w:t>
            </w:r>
          </w:p>
        </w:tc>
      </w:tr>
    </w:tbl>
    <w:p>
      <w:pPr>
        <w:spacing w:before="240" w:after="100"/>
      </w:pPr>
      <w:r>
        <w:rPr>
          <w:b/>
          <w:bCs/>
          <w:color w:val="23282D"/>
          <w:sz w:val="26"/>
          <w:szCs w:val="26"/>
          <w:rFonts w:ascii="Kanit" w:cs="Kanit" w:eastAsia="Kanit" w:hAnsi="Kanit"/>
        </w:rPr>
        <w:t xml:space="preserve">7.1 Cadence Summary</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Total pieces in 12 weeks: 12 long-form + 12 mid-form + 7 videos/tools + 12 newsletters + 36 LinkedIn posts = 79 assets.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Cluster balance: A-Strategy 3, B-Execution 4, C-Optimization 3, D-Vertical 2.</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Interlink audits performed every Monday for the previous week's content.</w:t>
      </w:r>
    </w:p>
    <w:p>
      <w:r>
        <w:br w:type="page"/>
      </w:r>
    </w:p>
    <w:p>
      <w:pPr>
        <w:spacing w:before="480" w:after="240"/>
        <w:jc w:val="left"/>
      </w:pPr>
      <w:r>
        <w:rPr>
          <w:b/>
          <w:bCs/>
          <w:color w:val="072032"/>
          <w:sz w:val="44"/>
          <w:szCs w:val="44"/>
          <w:rFonts w:ascii="Kanit" w:cs="Kanit" w:eastAsia="Kanit" w:hAnsi="Kanit"/>
        </w:rPr>
        <w:t xml:space="preserve">8. Distribution &amp; Amplification Plan</w:t>
      </w:r>
    </w:p>
    <w:p>
      <w:pPr>
        <w:spacing w:before="80" w:after="80" w:line="300"/>
        <w:jc w:val="left"/>
      </w:pPr>
      <w:r>
        <w:rPr>
          <w:b w:val="false"/>
          <w:bCs w:val="false"/>
          <w:i w:val="false"/>
          <w:iCs w:val="false"/>
          <w:color w:val="121212"/>
          <w:sz w:val="20"/>
          <w:szCs w:val="20"/>
          <w:rFonts w:ascii="Montserrat" w:cs="Montserrat" w:eastAsia="Montserrat" w:hAnsi="Montserrat"/>
        </w:rPr>
        <w:t xml:space="preserve">Content without distribution is a diary entry. Every asset goes through a standardized amplification sequence, calibrated to format and funnel stage.</w:t>
      </w:r>
    </w:p>
    <w:p>
      <w:pPr>
        <w:spacing w:before="240" w:after="100"/>
      </w:pPr>
      <w:r>
        <w:rPr>
          <w:b/>
          <w:bCs/>
          <w:color w:val="23282D"/>
          <w:sz w:val="26"/>
          <w:szCs w:val="26"/>
          <w:rFonts w:ascii="Kanit" w:cs="Kanit" w:eastAsia="Kanit" w:hAnsi="Kanit"/>
        </w:rPr>
        <w:t xml:space="preserve">8.1 Organic Distribution (Always-On)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On-page SEO: target keyword in H1, URL, meta title, first 100 words, 3 H2s, alt text.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Internal linking: minimum 3 links to pillar, 2 links to sibling cluster articles, audited weekly.</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Schema markup: Article schema on all content, FAQPage schema on all Q&amp;A sections, HowTo for step-by-step guides.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Search Console monitoring: weekly CTR + avg position + impressions report.</w:t>
      </w:r>
    </w:p>
    <w:p>
      <w:pPr>
        <w:spacing w:before="240" w:after="100"/>
      </w:pPr>
      <w:r>
        <w:rPr>
          <w:b/>
          <w:bCs/>
          <w:color w:val="23282D"/>
          <w:sz w:val="26"/>
          <w:szCs w:val="26"/>
          <w:rFonts w:ascii="Kanit" w:cs="Kanit" w:eastAsia="Kanit" w:hAnsi="Kanit"/>
        </w:rPr>
        <w:t xml:space="preserve">8.2 Email Distribution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Newsletter: every Thursday 9:00 AEST — 1 hero article + 2 secondary links + 1 tool/calculator spotlight.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Nurture sequences: new subscribers enter a 7-email Google Ads fundamentals sequence built from existing funnel content.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Segmentation: personas (Andrew/Mia/Sam) x industry (7 verticals) = 21 segments for precision targeting.</w:t>
      </w:r>
    </w:p>
    <w:p>
      <w:pPr>
        <w:spacing w:before="240" w:after="100"/>
      </w:pPr>
      <w:r>
        <w:rPr>
          <w:b/>
          <w:bCs/>
          <w:color w:val="23282D"/>
          <w:sz w:val="26"/>
          <w:szCs w:val="26"/>
          <w:rFonts w:ascii="Kanit" w:cs="Kanit" w:eastAsia="Kanit" w:hAnsi="Kanit"/>
        </w:rPr>
        <w:t xml:space="preserve">8.3 LinkedIn Amplification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Founder/CEO post: 1/week — narrative, first-person POV, linking to pillar or major cluster piece.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Team posts: 2/week from 2–3 delivery team members — tactical, screenshot-driven, personal-brand building.</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Company page: re-share of all team posts + 1 curated industry post per day.</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Engagement quota: every team member responds to 5 industry posts per day (builds visibility, generates inbound).</w:t>
      </w:r>
    </w:p>
    <w:p>
      <w:pPr>
        <w:spacing w:before="240" w:after="100"/>
      </w:pPr>
      <w:r>
        <w:rPr>
          <w:b/>
          <w:bCs/>
          <w:color w:val="23282D"/>
          <w:sz w:val="26"/>
          <w:szCs w:val="26"/>
          <w:rFonts w:ascii="Kanit" w:cs="Kanit" w:eastAsia="Kanit" w:hAnsi="Kanit"/>
        </w:rPr>
        <w:t xml:space="preserve">8.4 Paid Amplification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Google Ads retargeting: all pillar and cluster visitors enter a 30-day remarketing audience.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LinkedIn Ads: top-of-funnel data report promoted to Marketing Managers in AU, $1K/month test budget.</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Meta Ads (selective): high-performing video content promoted to owner-operator lookalikes, $500/month test.</w:t>
      </w:r>
    </w:p>
    <w:p>
      <w:pPr>
        <w:spacing w:before="240" w:after="100"/>
      </w:pPr>
      <w:r>
        <w:rPr>
          <w:b/>
          <w:bCs/>
          <w:color w:val="23282D"/>
          <w:sz w:val="26"/>
          <w:szCs w:val="26"/>
          <w:rFonts w:ascii="Kanit" w:cs="Kanit" w:eastAsia="Kanit" w:hAnsi="Kanit"/>
        </w:rPr>
        <w:t xml:space="preserve">8.5 PR &amp; Backlink Acquisition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Data report pitched to: Smart Company, Dynamic Business, Inside Small Business, AdNews, B&amp;T Magazine.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HARO (Connectively) participation: 3 responses/week from senior team members.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Guest posting: 1 placement/month on tier-1 Australian marketing publications.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Podcast outreach: CEO pitches for 1 AU marketing podcast appearance per month.</w:t>
      </w:r>
    </w:p>
    <w:p>
      <w:r>
        <w:br w:type="page"/>
      </w:r>
    </w:p>
    <w:p>
      <w:pPr>
        <w:spacing w:before="480" w:after="240"/>
        <w:jc w:val="left"/>
      </w:pPr>
      <w:r>
        <w:rPr>
          <w:b/>
          <w:bCs/>
          <w:color w:val="072032"/>
          <w:sz w:val="44"/>
          <w:szCs w:val="44"/>
          <w:rFonts w:ascii="Kanit" w:cs="Kanit" w:eastAsia="Kanit" w:hAnsi="Kanit"/>
        </w:rPr>
        <w:t xml:space="preserve">9. Measurement &amp; Reporting Framework</w:t>
      </w:r>
    </w:p>
    <w:p>
      <w:pPr>
        <w:spacing w:before="80" w:after="80" w:line="300"/>
        <w:jc w:val="left"/>
      </w:pPr>
      <w:r>
        <w:rPr>
          <w:b w:val="false"/>
          <w:bCs w:val="false"/>
          <w:i w:val="false"/>
          <w:iCs w:val="false"/>
          <w:color w:val="121212"/>
          <w:sz w:val="20"/>
          <w:szCs w:val="20"/>
          <w:rFonts w:ascii="Montserrat" w:cs="Montserrat" w:eastAsia="Montserrat" w:hAnsi="Montserrat"/>
        </w:rPr>
        <w:t xml:space="preserve">Content marketing is measured on lagging business outcomes, not vanity metrics. The framework below defines what is tracked, by whom, and at what cadence. All metrics roll up into a single monthly content dashboard reviewed in the first-Monday-of-month leadership meeting.</w:t>
      </w:r>
    </w:p>
    <w:p>
      <w:pPr>
        <w:spacing w:before="240" w:after="100"/>
      </w:pPr>
      <w:r>
        <w:rPr>
          <w:b/>
          <w:bCs/>
          <w:color w:val="23282D"/>
          <w:sz w:val="26"/>
          <w:szCs w:val="26"/>
          <w:rFonts w:ascii="Kanit" w:cs="Kanit" w:eastAsia="Kanit" w:hAnsi="Kanit"/>
        </w:rPr>
        <w:t xml:space="preserve">9.1 Leading Indicators (Weekly Review)</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gridCol w:w="100"/>
        <w:gridCol w:w="100"/>
      </w:tblGrid>
      <w:tr>
        <w:tc>
          <w:tcPr>
            <w:tcW w:type="pct" w:w="3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Metric</w:t>
            </w:r>
          </w:p>
        </w:tc>
        <w:tc>
          <w:tcPr>
            <w:tcW w:type="pct" w:w="2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Target</w:t>
            </w:r>
          </w:p>
        </w:tc>
        <w:tc>
          <w:tcPr>
            <w:tcW w:type="pct" w:w="2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Source</w:t>
            </w:r>
          </w:p>
        </w:tc>
        <w:tc>
          <w:tcPr>
            <w:tcW w:type="pct" w:w="2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Owner</w:t>
            </w:r>
          </w:p>
        </w:tc>
      </w:tr>
      <w:tr>
        <w:tc>
          <w:tcPr>
            <w:tcW w:type="pct" w:w="3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New organic sessions</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+20% MoM</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GA4</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SEO Lead</w:t>
            </w:r>
          </w:p>
        </w:tc>
      </w:tr>
      <w:tr>
        <w:tc>
          <w:tcPr>
            <w:tcW w:type="pct" w:w="3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New ranking keywords (top 50)</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+10/month</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Ahrefs / GSC</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SEO Lead</w:t>
            </w:r>
          </w:p>
        </w:tc>
      </w:tr>
      <w:tr>
        <w:tc>
          <w:tcPr>
            <w:tcW w:type="pct" w:w="3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 published (vs plan)</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100%</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Editorial Board</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 Manager</w:t>
            </w:r>
          </w:p>
        </w:tc>
      </w:tr>
      <w:tr>
        <w:tc>
          <w:tcPr>
            <w:tcW w:type="pct" w:w="3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Email list growth</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+200/month</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ESP</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 Manager</w:t>
            </w:r>
          </w:p>
        </w:tc>
      </w:tr>
      <w:tr>
        <w:tc>
          <w:tcPr>
            <w:tcW w:type="pct" w:w="3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LinkedIn impressions</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+30% MoM</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LinkedIn Analytics</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Social Lead</w:t>
            </w:r>
          </w:p>
        </w:tc>
      </w:tr>
    </w:tbl>
    <w:p>
      <w:pPr>
        <w:spacing w:before="240" w:after="100"/>
      </w:pPr>
      <w:r>
        <w:rPr>
          <w:b/>
          <w:bCs/>
          <w:color w:val="23282D"/>
          <w:sz w:val="26"/>
          <w:szCs w:val="26"/>
          <w:rFonts w:ascii="Kanit" w:cs="Kanit" w:eastAsia="Kanit" w:hAnsi="Kanit"/>
        </w:rPr>
        <w:t xml:space="preserve">9.2 Lagging Indicators (Monthly Review)</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gridCol w:w="100"/>
        <w:gridCol w:w="100"/>
      </w:tblGrid>
      <w:tr>
        <w:tc>
          <w:tcPr>
            <w:tcW w:type="pct" w:w="3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Metric</w:t>
            </w:r>
          </w:p>
        </w:tc>
        <w:tc>
          <w:tcPr>
            <w:tcW w:type="pct" w:w="2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6-Mo Target</w:t>
            </w:r>
          </w:p>
        </w:tc>
        <w:tc>
          <w:tcPr>
            <w:tcW w:type="pct" w:w="2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Source</w:t>
            </w:r>
          </w:p>
        </w:tc>
        <w:tc>
          <w:tcPr>
            <w:tcW w:type="pct" w:w="20%"/>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Owner</w:t>
            </w:r>
          </w:p>
        </w:tc>
      </w:tr>
      <w:tr>
        <w:tc>
          <w:tcPr>
            <w:tcW w:type="pct" w:w="3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Organic MQLs</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20/month</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HubSpot / CRM</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Growth Lead</w:t>
            </w:r>
          </w:p>
        </w:tc>
      </w:tr>
      <w:tr>
        <w:tc>
          <w:tcPr>
            <w:tcW w:type="pct" w:w="3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Lead magnet downloads</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200/month</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GA4 + ESP</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 Manager</w:t>
            </w:r>
          </w:p>
        </w:tc>
      </w:tr>
      <w:tr>
        <w:tc>
          <w:tcPr>
            <w:tcW w:type="pct" w:w="3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Content-attributed pipeline</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$35K/month</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CRM</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Growth Lead</w:t>
            </w:r>
          </w:p>
        </w:tc>
      </w:tr>
      <w:tr>
        <w:tc>
          <w:tcPr>
            <w:tcW w:type="pct" w:w="3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Backlinks acquired</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40 total</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Ahrefs</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SEO Lead</w:t>
            </w:r>
          </w:p>
        </w:tc>
      </w:tr>
      <w:tr>
        <w:tc>
          <w:tcPr>
            <w:tcW w:type="pct" w:w="3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Brand search volume</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+40%</w:t>
            </w:r>
          </w:p>
        </w:tc>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Google Search Console</w:t>
            </w:r>
          </w:p>
        </w:tc>
        <w:tc>
          <w:tcPr>
            <w:tcW w:type="pct" w:w="20%"/>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SEO Lead</w:t>
            </w:r>
          </w:p>
        </w:tc>
      </w:tr>
      <w:tr>
        <w:tc>
          <w:tcPr>
            <w:tcW w:type="pct" w:w="3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Pillar page conversion rate</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3.5%+</w:t>
            </w:r>
          </w:p>
        </w:tc>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GA4</w:t>
            </w:r>
          </w:p>
        </w:tc>
        <w:tc>
          <w:tcPr>
            <w:tcW w:type="pct" w:w="20%"/>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 Manager</w:t>
            </w:r>
          </w:p>
        </w:tc>
      </w:tr>
    </w:tbl>
    <w:p>
      <w:pPr>
        <w:spacing w:before="240" w:after="100"/>
      </w:pPr>
      <w:r>
        <w:rPr>
          <w:b/>
          <w:bCs/>
          <w:color w:val="23282D"/>
          <w:sz w:val="26"/>
          <w:szCs w:val="26"/>
          <w:rFonts w:ascii="Kanit" w:cs="Kanit" w:eastAsia="Kanit" w:hAnsi="Kanit"/>
        </w:rPr>
        <w:t xml:space="preserve">9.3 Content Quality Metrics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Average time on page: target 3:30+ for long-form, 1:45+ for mid-form.</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Scroll depth: target 65%+ average on long-form articles.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Bounce rate: target &lt;45% (vs KlientBoost 42.7%, SmartSites 50.4%).</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Social shares per piece: target 20+ on LinkedIn for long-form, 10+ for mid-form.</w:t>
      </w:r>
    </w:p>
    <w:p>
      <w:r>
        <w:br w:type="page"/>
      </w:r>
    </w:p>
    <w:p>
      <w:pPr>
        <w:spacing w:before="480" w:after="240"/>
        <w:jc w:val="left"/>
      </w:pPr>
      <w:r>
        <w:rPr>
          <w:b/>
          <w:bCs/>
          <w:color w:val="072032"/>
          <w:sz w:val="44"/>
          <w:szCs w:val="44"/>
          <w:rFonts w:ascii="Kanit" w:cs="Kanit" w:eastAsia="Kanit" w:hAnsi="Kanit"/>
        </w:rPr>
        <w:t xml:space="preserve">10. Governance &amp; Production Workflow</w:t>
      </w:r>
    </w:p>
    <w:p>
      <w:pPr>
        <w:spacing w:before="240" w:after="100"/>
      </w:pPr>
      <w:r>
        <w:rPr>
          <w:b/>
          <w:bCs/>
          <w:color w:val="23282D"/>
          <w:sz w:val="26"/>
          <w:szCs w:val="26"/>
          <w:rFonts w:ascii="Kanit" w:cs="Kanit" w:eastAsia="Kanit" w:hAnsi="Kanit"/>
        </w:rPr>
        <w:t xml:space="preserve">10.1 Roles &amp; Responsibilities</w:t>
      </w:r>
    </w:p>
    <w:tbl>
      <w:tblPr>
        <w:tblW w:type="pct" w:w="100%"/>
        <w:tblBorders>
          <w:top w:val="single" w:color="DFEEF4" w:sz="4"/>
          <w:left w:val="single" w:color="DFEEF4" w:sz="4"/>
          <w:bottom w:val="single" w:color="DFEEF4" w:sz="4"/>
          <w:right w:val="single" w:color="DFEEF4" w:sz="4"/>
          <w:insideH w:val="single" w:color="DFEEF4" w:sz="4"/>
          <w:insideV w:val="single" w:color="DFEEF4" w:sz="4"/>
        </w:tblBorders>
      </w:tblPr>
      <w:tblGrid>
        <w:gridCol w:w="100"/>
        <w:gridCol w:w="100"/>
      </w:tblGrid>
      <w:tr>
        <w:tc>
          <w:tcPr>
            <w:tcW w:type="pct" w:w="2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Role</w:t>
            </w:r>
          </w:p>
        </w:tc>
        <w:tc>
          <w:tcPr>
            <w:tcW w:type="pct" w:w="75%"/>
            <w:shd w:fill="072032" w:val="clear"/>
            <w:tcMar>
              <w:top w:type="dxa" w:w="120"/>
              <w:left w:type="dxa" w:w="160"/>
              <w:bottom w:type="dxa" w:w="120"/>
              <w:right w:type="dxa" w:w="160"/>
            </w:tcMar>
          </w:tcPr>
          <w:p>
            <w:pPr>
              <w:jc w:val="left"/>
            </w:pPr>
            <w:r>
              <w:rPr>
                <w:b/>
                <w:bCs/>
                <w:color w:val="FFFFFF"/>
                <w:sz w:val="18"/>
                <w:szCs w:val="18"/>
                <w:rFonts w:ascii="Kanit" w:cs="Kanit" w:eastAsia="Kanit" w:hAnsi="Kanit"/>
              </w:rPr>
              <w:t xml:space="preserve">Responsibilities</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Content Manager</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Editorial calendar, quality standards, interlink audits, dashboard</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SEO Lead</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Keyword research, on-page optimization, backlink acquisition, technical SEO</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Writers (2x)</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Long-form and mid-form drafting, persona alignment, research</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Video Producer</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Scripting, filming, editing, YouTube SEO, repurposing</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Designer</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Featured images, infographics, report layouts, social assets</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Social Lead</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LinkedIn distribution, engagement quota, community management</w:t>
            </w:r>
          </w:p>
        </w:tc>
      </w:tr>
      <w:tr>
        <w:tc>
          <w:tcPr>
            <w:tcW w:type="pct" w:w="2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Growth Lead</w:t>
            </w:r>
          </w:p>
        </w:tc>
        <w:tc>
          <w:tcPr>
            <w:tcW w:type="pct" w:w="75%"/>
            <w:shd w:fill="FFFF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Funnel measurement, MQL quality audit, pipeline attribution</w:t>
            </w:r>
          </w:p>
        </w:tc>
      </w:tr>
      <w:tr>
        <w:tc>
          <w:tcPr>
            <w:tcW w:type="pct" w:w="2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Founder / CEO</w:t>
            </w:r>
          </w:p>
        </w:tc>
        <w:tc>
          <w:tcPr>
            <w:tcW w:type="pct" w:w="75%"/>
            <w:shd w:fill="F9FBFF" w:val="clear"/>
            <w:tcMar>
              <w:top w:type="dxa" w:w="120"/>
              <w:left w:type="dxa" w:w="160"/>
              <w:bottom w:type="dxa" w:w="120"/>
              <w:right w:type="dxa" w:w="160"/>
            </w:tcMar>
          </w:tcPr>
          <w:p>
            <w:pPr>
              <w:jc w:val="left"/>
            </w:pPr>
            <w:r>
              <w:rPr>
                <w:b w:val="function bold() { [native code] }"/>
                <w:bCs w:val="function bold() { [native code] }"/>
                <w:color w:val="121212"/>
                <w:sz w:val="18"/>
                <w:szCs w:val="18"/>
                <w:rFonts w:ascii="Montserrat" w:cs="Montserrat" w:eastAsia="Montserrat" w:hAnsi="Montserrat"/>
              </w:rPr>
              <w:t xml:space="preserve">Thought leadership voice, podcast appearances, strategic steering</w:t>
            </w:r>
          </w:p>
        </w:tc>
      </w:tr>
    </w:tbl>
    <w:p>
      <w:pPr>
        <w:spacing w:before="240" w:after="100"/>
      </w:pPr>
      <w:r>
        <w:rPr>
          <w:b/>
          <w:bCs/>
          <w:color w:val="23282D"/>
          <w:sz w:val="26"/>
          <w:szCs w:val="26"/>
          <w:rFonts w:ascii="Kanit" w:cs="Kanit" w:eastAsia="Kanit" w:hAnsi="Kanit"/>
        </w:rPr>
        <w:t xml:space="preserve">10.2 Content Brief Template (Non-Negotiable)</w:t>
      </w:r>
    </w:p>
    <w:p>
      <w:pPr>
        <w:spacing w:before="80" w:after="80" w:line="300"/>
        <w:jc w:val="left"/>
      </w:pPr>
      <w:r>
        <w:rPr>
          <w:b w:val="false"/>
          <w:bCs w:val="false"/>
          <w:i w:val="false"/>
          <w:iCs w:val="false"/>
          <w:color w:val="121212"/>
          <w:sz w:val="20"/>
          <w:szCs w:val="20"/>
          <w:rFonts w:ascii="Montserrat" w:cs="Montserrat" w:eastAsia="Montserrat" w:hAnsi="Montserrat"/>
        </w:rPr>
        <w:t xml:space="preserve">Every piece of content begins with a one-page brief that specifies:</w:t>
      </w:r>
    </w:p>
    <w:p>
      <w:pPr>
        <w:spacing w:before="60" w:after="60" w:line="280"/>
        <w:ind w:left="480" w:hanging="360"/>
      </w:pPr>
      <w:r>
        <w:rPr>
          <w:b/>
          <w:bCs/>
          <w:color w:val="209FD7"/>
          <w:sz w:val="22"/>
          <w:szCs w:val="22"/>
          <w:rFonts w:ascii="Montserrat" w:cs="Montserrat" w:eastAsia="Montserrat" w:hAnsi="Montserrat"/>
        </w:rPr>
        <w:t xml:space="preserve">1. </w:t>
      </w:r>
      <w:r>
        <w:rPr>
          <w:color w:val="121212"/>
          <w:sz w:val="20"/>
          <w:szCs w:val="20"/>
          <w:rFonts w:ascii="Montserrat" w:cs="Montserrat" w:eastAsia="Montserrat" w:hAnsi="Montserrat"/>
        </w:rPr>
        <w:t xml:space="preserve">Primary and secondary keywords with AU search volume and difficulty.</w:t>
      </w:r>
    </w:p>
    <w:p>
      <w:pPr>
        <w:spacing w:before="60" w:after="60" w:line="280"/>
        <w:ind w:left="480" w:hanging="360"/>
      </w:pPr>
      <w:r>
        <w:rPr>
          <w:b/>
          <w:bCs/>
          <w:color w:val="209FD7"/>
          <w:sz w:val="22"/>
          <w:szCs w:val="22"/>
          <w:rFonts w:ascii="Montserrat" w:cs="Montserrat" w:eastAsia="Montserrat" w:hAnsi="Montserrat"/>
        </w:rPr>
        <w:t xml:space="preserve">2. </w:t>
      </w:r>
      <w:r>
        <w:rPr>
          <w:color w:val="121212"/>
          <w:sz w:val="20"/>
          <w:szCs w:val="20"/>
          <w:rFonts w:ascii="Montserrat" w:cs="Montserrat" w:eastAsia="Montserrat" w:hAnsi="Montserrat"/>
        </w:rPr>
        <w:t xml:space="preserve">Primary persona (Andrew / Mia / Sam) and stated reader takeaway.</w:t>
      </w:r>
    </w:p>
    <w:p>
      <w:pPr>
        <w:spacing w:before="60" w:after="60" w:line="280"/>
        <w:ind w:left="480" w:hanging="360"/>
      </w:pPr>
      <w:r>
        <w:rPr>
          <w:b/>
          <w:bCs/>
          <w:color w:val="209FD7"/>
          <w:sz w:val="22"/>
          <w:szCs w:val="22"/>
          <w:rFonts w:ascii="Montserrat" w:cs="Montserrat" w:eastAsia="Montserrat" w:hAnsi="Montserrat"/>
        </w:rPr>
        <w:t xml:space="preserve">3. </w:t>
      </w:r>
      <w:r>
        <w:rPr>
          <w:color w:val="121212"/>
          <w:sz w:val="20"/>
          <w:szCs w:val="20"/>
          <w:rFonts w:ascii="Montserrat" w:cs="Montserrat" w:eastAsia="Montserrat" w:hAnsi="Montserrat"/>
        </w:rPr>
        <w:t xml:space="preserve">Funnel stage (TOFU / MOFU / BOFU) and desired next action.</w:t>
      </w:r>
    </w:p>
    <w:p>
      <w:pPr>
        <w:spacing w:before="60" w:after="60" w:line="280"/>
        <w:ind w:left="480" w:hanging="360"/>
      </w:pPr>
      <w:r>
        <w:rPr>
          <w:b/>
          <w:bCs/>
          <w:color w:val="209FD7"/>
          <w:sz w:val="22"/>
          <w:szCs w:val="22"/>
          <w:rFonts w:ascii="Montserrat" w:cs="Montserrat" w:eastAsia="Montserrat" w:hAnsi="Montserrat"/>
        </w:rPr>
        <w:t xml:space="preserve">4. </w:t>
      </w:r>
      <w:r>
        <w:rPr>
          <w:color w:val="121212"/>
          <w:sz w:val="20"/>
          <w:szCs w:val="20"/>
          <w:rFonts w:ascii="Montserrat" w:cs="Montserrat" w:eastAsia="Montserrat" w:hAnsi="Montserrat"/>
        </w:rPr>
        <w:t xml:space="preserve">Three competitor articles being outranked, with noted content gaps.</w:t>
      </w:r>
    </w:p>
    <w:p>
      <w:pPr>
        <w:spacing w:before="60" w:after="60" w:line="280"/>
        <w:ind w:left="480" w:hanging="360"/>
      </w:pPr>
      <w:r>
        <w:rPr>
          <w:b/>
          <w:bCs/>
          <w:color w:val="209FD7"/>
          <w:sz w:val="22"/>
          <w:szCs w:val="22"/>
          <w:rFonts w:ascii="Montserrat" w:cs="Montserrat" w:eastAsia="Montserrat" w:hAnsi="Montserrat"/>
        </w:rPr>
        <w:t xml:space="preserve">5. </w:t>
      </w:r>
      <w:r>
        <w:rPr>
          <w:color w:val="121212"/>
          <w:sz w:val="20"/>
          <w:szCs w:val="20"/>
          <w:rFonts w:ascii="Montserrat" w:cs="Montserrat" w:eastAsia="Montserrat" w:hAnsi="Montserrat"/>
        </w:rPr>
        <w:t xml:space="preserve">Interlinking map: 3 pillar links, 2 sibling cluster links, 1 CTA destination.</w:t>
      </w:r>
    </w:p>
    <w:p>
      <w:pPr>
        <w:spacing w:before="60" w:after="60" w:line="280"/>
        <w:ind w:left="480" w:hanging="360"/>
      </w:pPr>
      <w:r>
        <w:rPr>
          <w:b/>
          <w:bCs/>
          <w:color w:val="209FD7"/>
          <w:sz w:val="22"/>
          <w:szCs w:val="22"/>
          <w:rFonts w:ascii="Montserrat" w:cs="Montserrat" w:eastAsia="Montserrat" w:hAnsi="Montserrat"/>
        </w:rPr>
        <w:t xml:space="preserve">6. </w:t>
      </w:r>
      <w:r>
        <w:rPr>
          <w:color w:val="121212"/>
          <w:sz w:val="20"/>
          <w:szCs w:val="20"/>
          <w:rFonts w:ascii="Montserrat" w:cs="Montserrat" w:eastAsia="Montserrat" w:hAnsi="Montserrat"/>
        </w:rPr>
        <w:t xml:space="preserve">Required H2 structure and featured-snippet target question.</w:t>
      </w:r>
    </w:p>
    <w:p>
      <w:pPr>
        <w:spacing w:before="60" w:after="60" w:line="280"/>
        <w:ind w:left="480" w:hanging="360"/>
      </w:pPr>
      <w:r>
        <w:rPr>
          <w:b/>
          <w:bCs/>
          <w:color w:val="209FD7"/>
          <w:sz w:val="22"/>
          <w:szCs w:val="22"/>
          <w:rFonts w:ascii="Montserrat" w:cs="Montserrat" w:eastAsia="Montserrat" w:hAnsi="Montserrat"/>
        </w:rPr>
        <w:t xml:space="preserve">7. </w:t>
      </w:r>
      <w:r>
        <w:rPr>
          <w:color w:val="121212"/>
          <w:sz w:val="20"/>
          <w:szCs w:val="20"/>
          <w:rFonts w:ascii="Montserrat" w:cs="Montserrat" w:eastAsia="Montserrat" w:hAnsi="Montserrat"/>
        </w:rPr>
        <w:t xml:space="preserve">Distribution checklist (newsletter slot, LinkedIn post, email sequence insertion).</w:t>
      </w:r>
    </w:p>
    <w:p>
      <w:pPr>
        <w:spacing w:before="240" w:after="100"/>
      </w:pPr>
      <w:r>
        <w:rPr>
          <w:b/>
          <w:bCs/>
          <w:color w:val="23282D"/>
          <w:sz w:val="26"/>
          <w:szCs w:val="26"/>
          <w:rFonts w:ascii="Kanit" w:cs="Kanit" w:eastAsia="Kanit" w:hAnsi="Kanit"/>
        </w:rPr>
        <w:t xml:space="preserve">10.3 Quality Checklist (Pre-Publish)</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Originality: zero AI-generated boilerplate; all content passes human editorial review.</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Accuracy: every AUD benchmark figure sourced from 2025–2026 Australian market data.</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Voice: Australian spelling, local examples, TrafficRadius brand tone (plainspoken, evidence-led).</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Compliance: ACCC advertising guidelines respected; no misleading claims or unverifiable statistics.</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Accessibility: minimum WCAG 2.1 AA; alt text on all images; logical heading structure.</w:t>
      </w:r>
    </w:p>
    <w:p>
      <w:pPr>
        <w:spacing w:before="240" w:after="100"/>
      </w:pPr>
      <w:r>
        <w:rPr>
          <w:b/>
          <w:bCs/>
          <w:color w:val="23282D"/>
          <w:sz w:val="26"/>
          <w:szCs w:val="26"/>
          <w:rFonts w:ascii="Kanit" w:cs="Kanit" w:eastAsia="Kanit" w:hAnsi="Kanit"/>
        </w:rPr>
        <w:t xml:space="preserve">10.4 Review &amp; Iteration Cadence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Weekly: editorial huddle (Mon 9:00), distribution review (Fri 15:00).</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Monthly: content dashboard review, underperformer audit (bottom 10%), cluster rebalance.</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Quarterly: pillar page refresh, benchmark report update, persona validation, competitor re-scan.</w:t>
      </w:r>
    </w:p>
    <w:p>
      <w:pPr>
        <w:spacing w:before="40" w:after="40" w:line="280"/>
        <w:ind w:left="360" w:hanging="240"/>
      </w:pPr>
      <w:r>
        <w:rPr>
          <w:b/>
          <w:bCs/>
          <w:color w:val="A4D36B"/>
          <w:sz w:val="22"/>
          <w:szCs w:val="22"/>
          <w:rFonts w:ascii="Montserrat" w:cs="Montserrat" w:eastAsia="Montserrat" w:hAnsi="Montserrat"/>
        </w:rPr>
        <w:t xml:space="preserve">• </w:t>
      </w:r>
      <w:r>
        <w:rPr>
          <w:color w:val="121212"/>
          <w:sz w:val="20"/>
          <w:szCs w:val="20"/>
          <w:rFonts w:ascii="Montserrat" w:cs="Montserrat" w:eastAsia="Montserrat" w:hAnsi="Montserrat"/>
        </w:rPr>
        <w:t xml:space="preserve">Annually: full content audit, ROI assessment, strategic redirection for next 12 months.</w:t>
      </w:r>
    </w:p>
    <w:p>
      <w:pPr>
        <w:pBdr>
          <w:bottom w:val="single" w:color="DFEEF4" w:sz="8" w:space="2"/>
        </w:pBdr>
        <w:spacing w:before="160" w:after="160"/>
      </w:pPr>
      <w:r>
        <w:t xml:space="preserve"/>
      </w:r>
    </w:p>
    <w:p>
      <w:pPr>
        <w:spacing w:before="80" w:after="80" w:line="300"/>
        <w:jc w:val="center"/>
      </w:pPr>
      <w:r>
        <w:rPr>
          <w:b w:val="false"/>
          <w:bCs w:val="false"/>
          <w:i/>
          <w:iCs/>
          <w:color w:val="555555"/>
          <w:sz w:val="20"/>
          <w:szCs w:val="20"/>
          <w:rFonts w:ascii="Montserrat" w:cs="Montserrat" w:eastAsia="Montserrat" w:hAnsi="Montserrat"/>
        </w:rPr>
        <w:t xml:space="preserve">— End of Google Ads Pillar Page Content Marketing Strategy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Montserrat" w:cs="Montserrat" w:eastAsia="Montserrat" w:hAnsi="Montserrat"/>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Ads Content Marketing Strategy</dc:title>
  <dc:creator>TrafficRadius Owned Media</dc:creator>
  <dc:description>Topic cluster + distribution + measurement playbook for the Google Ads pillar</dc:description>
  <cp:lastModifiedBy>Un-named</cp:lastModifiedBy>
  <cp:revision>1</cp:revision>
  <dcterms:created xsi:type="dcterms:W3CDTF">2026-04-15T05:45:00.678Z</dcterms:created>
  <dcterms:modified xsi:type="dcterms:W3CDTF">2026-04-15T05:45:00.679Z</dcterms:modified>
</cp:coreProperties>
</file>

<file path=docProps/custom.xml><?xml version="1.0" encoding="utf-8"?>
<Properties xmlns="http://schemas.openxmlformats.org/officeDocument/2006/custom-properties" xmlns:vt="http://schemas.openxmlformats.org/officeDocument/2006/docPropsVTypes"/>
</file>