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3453B" w14:textId="77777777" w:rsidR="00DF7416" w:rsidRPr="00B31031" w:rsidRDefault="00DF7416" w:rsidP="00B31031">
      <w:pPr>
        <w:pStyle w:val="Heading1"/>
        <w:rPr>
          <w:rFonts w:ascii="Arial" w:eastAsia="Times New Roman" w:hAnsi="Arial" w:cs="Arial"/>
          <w:lang w:eastAsia="en-GB"/>
        </w:rPr>
      </w:pPr>
      <w:r w:rsidRPr="00B31031">
        <w:rPr>
          <w:rFonts w:ascii="Arial" w:eastAsia="Times New Roman" w:hAnsi="Arial" w:cs="Arial"/>
          <w:lang w:eastAsia="en-GB"/>
        </w:rPr>
        <w:t>Inappropriate Use of Surveys – Ethical, Social, Legal and Professional Implications</w:t>
      </w:r>
    </w:p>
    <w:p w14:paraId="41A3CFFC" w14:textId="77777777" w:rsidR="00DF7416" w:rsidRPr="00DF7416" w:rsidRDefault="00DF7416" w:rsidP="00927C4E">
      <w:pPr>
        <w:pStyle w:val="Heading2"/>
        <w:rPr>
          <w:rFonts w:eastAsia="Times New Roman"/>
          <w:lang w:eastAsia="en-GB"/>
        </w:rPr>
      </w:pPr>
      <w:r w:rsidRPr="00DF7416">
        <w:rPr>
          <w:rFonts w:eastAsia="Times New Roman"/>
          <w:lang w:eastAsia="en-GB"/>
        </w:rPr>
        <w:t>1. Introduction</w:t>
      </w:r>
    </w:p>
    <w:p w14:paraId="6A6B3591" w14:textId="6AC6D91C" w:rsidR="00DF7416" w:rsidRPr="00DF7416" w:rsidRDefault="00DF7416" w:rsidP="00CF577E">
      <w:pPr>
        <w:spacing w:before="100" w:beforeAutospacing="1" w:after="100" w:afterAutospacing="1" w:line="480" w:lineRule="auto"/>
        <w:rPr>
          <w:rFonts w:eastAsia="Times New Roman"/>
          <w:lang w:eastAsia="en-GB"/>
        </w:rPr>
      </w:pPr>
      <w:r w:rsidRPr="00DF7416">
        <w:rPr>
          <w:rFonts w:eastAsia="Times New Roman"/>
          <w:lang w:eastAsia="en-GB"/>
        </w:rPr>
        <w:t>Online surveys are widely used to gather opinions, personalise services, and support research. However, several high-profile incidents demonstrate how seemingly harmless survey tools can be misused for large-scale data harvesting, profiling, and manipulation. This entry examines how Cambridge Analytica used Facebook surveys to obtain and exploit user data, identifies further examples of inappropriate survey use, and evaluates the ethical, social, legal, and professional implications of these practices.</w:t>
      </w:r>
    </w:p>
    <w:p w14:paraId="2DF2DFDB" w14:textId="77777777" w:rsidR="00DF7416" w:rsidRPr="00927C4E" w:rsidRDefault="00DF7416" w:rsidP="00927C4E">
      <w:pPr>
        <w:pStyle w:val="Heading2"/>
        <w:rPr>
          <w:rFonts w:ascii="Arial" w:eastAsia="Times New Roman" w:hAnsi="Arial" w:cs="Arial"/>
          <w:lang w:eastAsia="en-GB"/>
        </w:rPr>
      </w:pPr>
      <w:r w:rsidRPr="00927C4E">
        <w:rPr>
          <w:rFonts w:ascii="Arial" w:eastAsia="Times New Roman" w:hAnsi="Arial" w:cs="Arial"/>
          <w:lang w:eastAsia="en-GB"/>
        </w:rPr>
        <w:t>2. Cambridge Analytica: How the Survey Led to Data Misuse</w:t>
      </w:r>
    </w:p>
    <w:p w14:paraId="5982A8C7" w14:textId="77777777" w:rsidR="00DF7416" w:rsidRPr="00DF7416" w:rsidRDefault="00DF7416" w:rsidP="00927C4E">
      <w:pPr>
        <w:pStyle w:val="Heading3"/>
        <w:rPr>
          <w:rFonts w:eastAsia="Times New Roman"/>
          <w:lang w:eastAsia="en-GB"/>
        </w:rPr>
      </w:pPr>
      <w:r w:rsidRPr="00DF7416">
        <w:rPr>
          <w:rFonts w:eastAsia="Times New Roman"/>
          <w:lang w:eastAsia="en-GB"/>
        </w:rPr>
        <w:t>2.1 Mechanism of the Data Harvesting</w:t>
      </w:r>
    </w:p>
    <w:p w14:paraId="0491BA6E" w14:textId="77777777" w:rsidR="00DF7416" w:rsidRPr="00DF7416" w:rsidRDefault="00DF7416" w:rsidP="00927C4E">
      <w:pPr>
        <w:spacing w:before="100" w:beforeAutospacing="1" w:after="100" w:afterAutospacing="1" w:line="480" w:lineRule="auto"/>
        <w:rPr>
          <w:rFonts w:eastAsia="Times New Roman"/>
          <w:lang w:eastAsia="en-GB"/>
        </w:rPr>
      </w:pPr>
      <w:r w:rsidRPr="00DF7416">
        <w:rPr>
          <w:rFonts w:eastAsia="Times New Roman"/>
          <w:lang w:eastAsia="en-GB"/>
        </w:rPr>
        <w:t xml:space="preserve">In 2013, a Facebook app called </w:t>
      </w:r>
      <w:proofErr w:type="spellStart"/>
      <w:r w:rsidRPr="00DF7416">
        <w:rPr>
          <w:rFonts w:eastAsia="Times New Roman"/>
          <w:i/>
          <w:iCs/>
          <w:lang w:eastAsia="en-GB"/>
        </w:rPr>
        <w:t>thisisyourdigitallife</w:t>
      </w:r>
      <w:proofErr w:type="spellEnd"/>
      <w:r w:rsidRPr="00DF7416">
        <w:rPr>
          <w:rFonts w:eastAsia="Times New Roman"/>
          <w:lang w:eastAsia="en-GB"/>
        </w:rPr>
        <w:t xml:space="preserve"> was presented as a harmless personality quiz for academic research. Approximately 270,000 users installed the app and completed its survey. At the time, Facebook’s API allowed apps to access not only the data of survey participants but also certain data belonging to </w:t>
      </w:r>
      <w:proofErr w:type="gramStart"/>
      <w:r w:rsidRPr="00DF7416">
        <w:rPr>
          <w:rFonts w:eastAsia="Times New Roman"/>
          <w:lang w:eastAsia="en-GB"/>
        </w:rPr>
        <w:t>all of</w:t>
      </w:r>
      <w:proofErr w:type="gramEnd"/>
      <w:r w:rsidRPr="00DF7416">
        <w:rPr>
          <w:rFonts w:eastAsia="Times New Roman"/>
          <w:lang w:eastAsia="en-GB"/>
        </w:rPr>
        <w:t xml:space="preserve"> their Facebook friends.</w:t>
      </w:r>
    </w:p>
    <w:p w14:paraId="65A9C328" w14:textId="77777777" w:rsidR="00DF7416" w:rsidRPr="00DF7416" w:rsidRDefault="00DF7416" w:rsidP="00927C4E">
      <w:pPr>
        <w:spacing w:before="100" w:beforeAutospacing="1" w:after="100" w:afterAutospacing="1" w:line="480" w:lineRule="auto"/>
        <w:rPr>
          <w:rFonts w:eastAsia="Times New Roman"/>
          <w:lang w:eastAsia="en-GB"/>
        </w:rPr>
      </w:pPr>
      <w:r w:rsidRPr="00DF7416">
        <w:rPr>
          <w:rFonts w:eastAsia="Times New Roman"/>
          <w:lang w:eastAsia="en-GB"/>
        </w:rPr>
        <w:t xml:space="preserve">This loophole enabled the app’s developers to harvest data from </w:t>
      </w:r>
      <w:r w:rsidRPr="00DF7416">
        <w:rPr>
          <w:rFonts w:eastAsia="Times New Roman"/>
          <w:b/>
          <w:bCs/>
          <w:lang w:eastAsia="en-GB"/>
        </w:rPr>
        <w:t>up to 87 million Facebook users</w:t>
      </w:r>
      <w:r w:rsidRPr="00DF7416">
        <w:rPr>
          <w:rFonts w:eastAsia="Times New Roman"/>
          <w:lang w:eastAsia="en-GB"/>
        </w:rPr>
        <w:t xml:space="preserve">, most of whom had </w:t>
      </w:r>
      <w:r w:rsidRPr="00DF7416">
        <w:rPr>
          <w:rFonts w:eastAsia="Times New Roman"/>
          <w:b/>
          <w:bCs/>
          <w:lang w:eastAsia="en-GB"/>
        </w:rPr>
        <w:t>never directly consented</w:t>
      </w:r>
      <w:r w:rsidRPr="00DF7416">
        <w:rPr>
          <w:rFonts w:eastAsia="Times New Roman"/>
          <w:lang w:eastAsia="en-GB"/>
        </w:rPr>
        <w:t>. The collected data included public profiles, likes, demographic information, and elements of the users’ social graph.</w:t>
      </w:r>
    </w:p>
    <w:p w14:paraId="3CB0D463" w14:textId="77777777" w:rsidR="00DF7416" w:rsidRPr="00927C4E" w:rsidRDefault="00DF7416" w:rsidP="00927C4E">
      <w:pPr>
        <w:pStyle w:val="Heading2"/>
        <w:rPr>
          <w:rFonts w:ascii="Arial" w:eastAsia="Times New Roman" w:hAnsi="Arial" w:cs="Arial"/>
          <w:lang w:eastAsia="en-GB"/>
        </w:rPr>
      </w:pPr>
      <w:r w:rsidRPr="00927C4E">
        <w:rPr>
          <w:rFonts w:ascii="Arial" w:eastAsia="Times New Roman" w:hAnsi="Arial" w:cs="Arial"/>
          <w:lang w:eastAsia="en-GB"/>
        </w:rPr>
        <w:lastRenderedPageBreak/>
        <w:t>2.2 Why the Data Was Used</w:t>
      </w:r>
    </w:p>
    <w:p w14:paraId="66D0A14B" w14:textId="6F11D38E" w:rsidR="00DF7416" w:rsidRPr="00DF7416" w:rsidRDefault="00DF7416" w:rsidP="00927C4E">
      <w:pPr>
        <w:spacing w:before="100" w:beforeAutospacing="1" w:after="100" w:afterAutospacing="1" w:line="480" w:lineRule="auto"/>
        <w:rPr>
          <w:rFonts w:eastAsia="Times New Roman"/>
          <w:lang w:eastAsia="en-GB"/>
        </w:rPr>
      </w:pPr>
      <w:r w:rsidRPr="00DF7416">
        <w:rPr>
          <w:rFonts w:eastAsia="Times New Roman"/>
          <w:lang w:eastAsia="en-GB"/>
        </w:rPr>
        <w:t xml:space="preserve">Although framed as academic research, the data was transferred to Cambridge Analytica. Using psychographic modelling based on OCEAN personality traits, the company developed behavioural profiles and deployed them for </w:t>
      </w:r>
      <w:r w:rsidRPr="00DF7416">
        <w:rPr>
          <w:rFonts w:eastAsia="Times New Roman"/>
          <w:b/>
          <w:bCs/>
          <w:lang w:eastAsia="en-GB"/>
        </w:rPr>
        <w:t>political micro-targeting</w:t>
      </w:r>
      <w:r w:rsidRPr="00DF7416">
        <w:rPr>
          <w:rFonts w:eastAsia="Times New Roman"/>
          <w:lang w:eastAsia="en-GB"/>
        </w:rPr>
        <w:t xml:space="preserve"> during major campaigns such as the 2016 US presidential election</w:t>
      </w:r>
      <w:r w:rsidR="00A93A25">
        <w:rPr>
          <w:rFonts w:eastAsia="Times New Roman"/>
          <w:lang w:eastAsia="en-GB"/>
        </w:rPr>
        <w:t xml:space="preserve"> </w:t>
      </w:r>
      <w:r w:rsidR="00A93A25" w:rsidRPr="00A93A25">
        <w:rPr>
          <w:rFonts w:eastAsia="Times New Roman"/>
          <w:lang w:eastAsia="en-GB"/>
        </w:rPr>
        <w:t xml:space="preserve">(Aagaard, 2023; </w:t>
      </w:r>
      <w:proofErr w:type="spellStart"/>
      <w:r w:rsidR="00A93A25" w:rsidRPr="00A93A25">
        <w:rPr>
          <w:rFonts w:eastAsia="Times New Roman"/>
          <w:lang w:eastAsia="en-GB"/>
        </w:rPr>
        <w:t>Carrella</w:t>
      </w:r>
      <w:proofErr w:type="spellEnd"/>
      <w:r w:rsidR="00A93A25" w:rsidRPr="00A93A25">
        <w:rPr>
          <w:rFonts w:eastAsia="Times New Roman"/>
          <w:lang w:eastAsia="en-GB"/>
        </w:rPr>
        <w:t xml:space="preserve"> et al., 2025)</w:t>
      </w:r>
      <w:r w:rsidR="00A93A25">
        <w:rPr>
          <w:rFonts w:eastAsia="Times New Roman"/>
          <w:lang w:eastAsia="en-GB"/>
        </w:rPr>
        <w:t>.</w:t>
      </w:r>
    </w:p>
    <w:p w14:paraId="6B32A49F" w14:textId="3A7C7796" w:rsidR="00DF7416" w:rsidRPr="00DF7416" w:rsidRDefault="00DF7416" w:rsidP="00CF577E">
      <w:pPr>
        <w:spacing w:before="100" w:beforeAutospacing="1" w:after="100" w:afterAutospacing="1" w:line="480" w:lineRule="auto"/>
        <w:rPr>
          <w:rFonts w:eastAsia="Times New Roman"/>
          <w:lang w:eastAsia="en-GB"/>
        </w:rPr>
      </w:pPr>
      <w:r w:rsidRPr="00DF7416">
        <w:rPr>
          <w:rFonts w:eastAsia="Times New Roman"/>
          <w:lang w:eastAsia="en-GB"/>
        </w:rPr>
        <w:t>The goal was to influence behaviour by identifying individuals’ psychological vulnerabilities and targeting them with highly personalised political messages</w:t>
      </w:r>
      <w:r w:rsidR="008F039C">
        <w:rPr>
          <w:rFonts w:eastAsia="Times New Roman"/>
          <w:lang w:eastAsia="en-GB"/>
        </w:rPr>
        <w:t xml:space="preserve"> </w:t>
      </w:r>
      <w:r w:rsidR="008F039C" w:rsidRPr="008F039C">
        <w:rPr>
          <w:rFonts w:eastAsia="Times New Roman"/>
          <w:lang w:eastAsia="en-GB"/>
        </w:rPr>
        <w:t>(Bakir, 2020; Hu, 2020)</w:t>
      </w:r>
      <w:r w:rsidR="00CF577E">
        <w:rPr>
          <w:rFonts w:eastAsia="Times New Roman"/>
          <w:lang w:eastAsia="en-GB"/>
        </w:rPr>
        <w:t>.</w:t>
      </w:r>
    </w:p>
    <w:p w14:paraId="10E24CB1" w14:textId="77777777" w:rsidR="00DF7416" w:rsidRPr="00927C4E" w:rsidRDefault="00DF7416" w:rsidP="00927C4E">
      <w:pPr>
        <w:pStyle w:val="Heading2"/>
        <w:rPr>
          <w:rFonts w:ascii="Arial" w:eastAsia="Times New Roman" w:hAnsi="Arial" w:cs="Arial"/>
          <w:lang w:eastAsia="en-GB"/>
        </w:rPr>
      </w:pPr>
      <w:r w:rsidRPr="00927C4E">
        <w:rPr>
          <w:rFonts w:ascii="Arial" w:eastAsia="Times New Roman" w:hAnsi="Arial" w:cs="Arial"/>
          <w:lang w:eastAsia="en-GB"/>
        </w:rPr>
        <w:t>3. Additional Examples of Inappropriate Survey Use</w:t>
      </w:r>
    </w:p>
    <w:p w14:paraId="54A4EF8D" w14:textId="77777777" w:rsidR="00DF7416" w:rsidRPr="00DF7416" w:rsidRDefault="00DF7416" w:rsidP="00927C4E">
      <w:pPr>
        <w:pStyle w:val="Heading3"/>
        <w:rPr>
          <w:rFonts w:eastAsia="Times New Roman"/>
          <w:lang w:eastAsia="en-GB"/>
        </w:rPr>
      </w:pPr>
      <w:r w:rsidRPr="00DF7416">
        <w:rPr>
          <w:rFonts w:eastAsia="Times New Roman"/>
          <w:lang w:eastAsia="en-GB"/>
        </w:rPr>
        <w:t xml:space="preserve">3.1 The </w:t>
      </w:r>
      <w:proofErr w:type="spellStart"/>
      <w:r w:rsidRPr="00DF7416">
        <w:rPr>
          <w:rFonts w:eastAsia="Times New Roman"/>
          <w:i/>
          <w:iCs/>
          <w:lang w:eastAsia="en-GB"/>
        </w:rPr>
        <w:t>myPersonality</w:t>
      </w:r>
      <w:proofErr w:type="spellEnd"/>
      <w:r w:rsidRPr="00DF7416">
        <w:rPr>
          <w:rFonts w:eastAsia="Times New Roman"/>
          <w:lang w:eastAsia="en-GB"/>
        </w:rPr>
        <w:t xml:space="preserve"> Facebook App</w:t>
      </w:r>
    </w:p>
    <w:p w14:paraId="5686D87A" w14:textId="5D3192A6" w:rsidR="00DF7416" w:rsidRPr="00DF7416" w:rsidRDefault="00DF7416" w:rsidP="00927C4E">
      <w:pPr>
        <w:spacing w:before="100" w:beforeAutospacing="1" w:after="100" w:afterAutospacing="1" w:line="480" w:lineRule="auto"/>
        <w:rPr>
          <w:rFonts w:eastAsia="Times New Roman"/>
          <w:lang w:eastAsia="en-GB"/>
        </w:rPr>
      </w:pPr>
      <w:r w:rsidRPr="00DF7416">
        <w:rPr>
          <w:rFonts w:eastAsia="Times New Roman"/>
          <w:lang w:eastAsia="en-GB"/>
        </w:rPr>
        <w:t xml:space="preserve">The </w:t>
      </w:r>
      <w:proofErr w:type="spellStart"/>
      <w:r w:rsidRPr="00DF7416">
        <w:rPr>
          <w:rFonts w:eastAsia="Times New Roman"/>
          <w:i/>
          <w:iCs/>
          <w:lang w:eastAsia="en-GB"/>
        </w:rPr>
        <w:t>myPersonality</w:t>
      </w:r>
      <w:proofErr w:type="spellEnd"/>
      <w:r w:rsidRPr="00DF7416">
        <w:rPr>
          <w:rFonts w:eastAsia="Times New Roman"/>
          <w:lang w:eastAsia="en-GB"/>
        </w:rPr>
        <w:t xml:space="preserve"> survey app, created by Cambridge University researchers, collected detailed psychometric profiles from millions of users. The data was then shared, often insecurely, with external researchers and industry partners. Poor access controls </w:t>
      </w:r>
      <w:r w:rsidR="00927C4E">
        <w:rPr>
          <w:rFonts w:eastAsia="Times New Roman"/>
          <w:lang w:eastAsia="en-GB"/>
        </w:rPr>
        <w:t>enabled</w:t>
      </w:r>
      <w:r w:rsidRPr="00DF7416">
        <w:rPr>
          <w:rFonts w:eastAsia="Times New Roman"/>
          <w:lang w:eastAsia="en-GB"/>
        </w:rPr>
        <w:t xml:space="preserve"> unauthorised parties to download sensitive datasets, compromising the privacy of over 4 million users. Facebook subsequently banned the app for refusing an audit and for inadequate data protection practices.</w:t>
      </w:r>
    </w:p>
    <w:p w14:paraId="0E2B9B83" w14:textId="77777777" w:rsidR="00DF7416" w:rsidRPr="00927C4E" w:rsidRDefault="00DF7416" w:rsidP="00927C4E">
      <w:pPr>
        <w:pStyle w:val="Heading3"/>
        <w:rPr>
          <w:rFonts w:eastAsia="Times New Roman" w:cs="Arial"/>
          <w:lang w:eastAsia="en-GB"/>
        </w:rPr>
      </w:pPr>
      <w:r w:rsidRPr="00927C4E">
        <w:rPr>
          <w:rFonts w:eastAsia="Times New Roman" w:cs="Arial"/>
          <w:lang w:eastAsia="en-GB"/>
        </w:rPr>
        <w:t>3.2 Wider Abuse: Mass Suspension of Quiz Apps</w:t>
      </w:r>
    </w:p>
    <w:p w14:paraId="396B4E19" w14:textId="6A70D454" w:rsidR="00DF7416" w:rsidRPr="00DF7416" w:rsidRDefault="00DF7416" w:rsidP="00061599">
      <w:pPr>
        <w:spacing w:before="100" w:beforeAutospacing="1" w:after="100" w:afterAutospacing="1" w:line="480" w:lineRule="auto"/>
        <w:rPr>
          <w:rFonts w:eastAsia="Times New Roman"/>
          <w:lang w:eastAsia="en-GB"/>
        </w:rPr>
      </w:pPr>
      <w:r w:rsidRPr="00DF7416">
        <w:rPr>
          <w:rFonts w:eastAsia="Times New Roman"/>
          <w:lang w:eastAsia="en-GB"/>
        </w:rPr>
        <w:t xml:space="preserve">Following the Cambridge Analytica revelations, Facebook suspended around 200 survey and quiz apps as part of an internal investigation. Many had been using “fun” quizzes to secretly collect extensive personal data. This demonstrated that inappropriate survey use was </w:t>
      </w:r>
      <w:r w:rsidRPr="00DF7416">
        <w:rPr>
          <w:rFonts w:eastAsia="Times New Roman"/>
          <w:b/>
          <w:bCs/>
          <w:lang w:eastAsia="en-GB"/>
        </w:rPr>
        <w:t>systemic</w:t>
      </w:r>
      <w:r w:rsidRPr="00DF7416">
        <w:rPr>
          <w:rFonts w:eastAsia="Times New Roman"/>
          <w:lang w:eastAsia="en-GB"/>
        </w:rPr>
        <w:t xml:space="preserve">, not exceptional, and that many apps </w:t>
      </w:r>
      <w:r w:rsidRPr="00DF7416">
        <w:rPr>
          <w:rFonts w:eastAsia="Times New Roman"/>
          <w:lang w:eastAsia="en-GB"/>
        </w:rPr>
        <w:lastRenderedPageBreak/>
        <w:t>exploited platform weaknesses to over-collect data</w:t>
      </w:r>
      <w:r w:rsidR="00CD0F32">
        <w:rPr>
          <w:rFonts w:eastAsia="Times New Roman"/>
          <w:lang w:eastAsia="en-GB"/>
        </w:rPr>
        <w:t xml:space="preserve"> </w:t>
      </w:r>
      <w:r w:rsidR="00CD0F32" w:rsidRPr="00CD0F32">
        <w:rPr>
          <w:rFonts w:eastAsia="Times New Roman"/>
          <w:lang w:eastAsia="en-GB"/>
        </w:rPr>
        <w:t>(van der Schyff, Flowerday and Furnell, 2020)</w:t>
      </w:r>
      <w:r w:rsidR="00CD0F32">
        <w:rPr>
          <w:rFonts w:eastAsia="Times New Roman"/>
          <w:lang w:eastAsia="en-GB"/>
        </w:rPr>
        <w:t>.</w:t>
      </w:r>
    </w:p>
    <w:p w14:paraId="649FEA0C" w14:textId="77777777" w:rsidR="00DF7416" w:rsidRPr="00927C4E" w:rsidRDefault="00DF7416" w:rsidP="00927C4E">
      <w:pPr>
        <w:pStyle w:val="Heading2"/>
        <w:rPr>
          <w:rFonts w:ascii="Arial" w:eastAsia="Times New Roman" w:hAnsi="Arial" w:cs="Arial"/>
          <w:lang w:eastAsia="en-GB"/>
        </w:rPr>
      </w:pPr>
      <w:r w:rsidRPr="00927C4E">
        <w:rPr>
          <w:rFonts w:ascii="Arial" w:eastAsia="Times New Roman" w:hAnsi="Arial" w:cs="Arial"/>
          <w:lang w:eastAsia="en-GB"/>
        </w:rPr>
        <w:t>4. Ethical Implications</w:t>
      </w:r>
    </w:p>
    <w:p w14:paraId="65E2CDCF" w14:textId="77777777" w:rsidR="00DF7416" w:rsidRPr="00DF7416" w:rsidRDefault="00DF7416" w:rsidP="00927C4E">
      <w:pPr>
        <w:spacing w:before="100" w:beforeAutospacing="1" w:after="100" w:afterAutospacing="1" w:line="480" w:lineRule="auto"/>
        <w:rPr>
          <w:rFonts w:eastAsia="Times New Roman"/>
          <w:lang w:eastAsia="en-GB"/>
        </w:rPr>
      </w:pPr>
      <w:r w:rsidRPr="00DF7416">
        <w:rPr>
          <w:rFonts w:eastAsia="Times New Roman"/>
          <w:lang w:eastAsia="en-GB"/>
        </w:rPr>
        <w:t>Survey misuse raises significant ethical concerns:</w:t>
      </w:r>
    </w:p>
    <w:p w14:paraId="48FE7D47" w14:textId="50040CBE" w:rsidR="00DF7416" w:rsidRPr="00DF7416" w:rsidRDefault="00DF7416" w:rsidP="00927C4E">
      <w:pPr>
        <w:numPr>
          <w:ilvl w:val="0"/>
          <w:numId w:val="1"/>
        </w:numPr>
        <w:spacing w:before="100" w:beforeAutospacing="1" w:after="100" w:afterAutospacing="1" w:line="480" w:lineRule="auto"/>
        <w:rPr>
          <w:rFonts w:eastAsia="Times New Roman"/>
          <w:lang w:eastAsia="en-GB"/>
        </w:rPr>
      </w:pPr>
      <w:r w:rsidRPr="00DF7416">
        <w:rPr>
          <w:rFonts w:eastAsia="Times New Roman"/>
          <w:b/>
          <w:bCs/>
          <w:lang w:eastAsia="en-GB"/>
        </w:rPr>
        <w:t>Lack of informed consent:</w:t>
      </w:r>
      <w:r w:rsidRPr="00DF7416">
        <w:rPr>
          <w:rFonts w:eastAsia="Times New Roman"/>
          <w:lang w:eastAsia="en-GB"/>
        </w:rPr>
        <w:t xml:space="preserve"> Users were led to believe they were taking part in harmless research or entertainment. Most were unaware their data – and their friends’ data – would be used for political profiling</w:t>
      </w:r>
      <w:r w:rsidR="00B0177C">
        <w:rPr>
          <w:rFonts w:eastAsia="Times New Roman"/>
          <w:lang w:eastAsia="en-GB"/>
        </w:rPr>
        <w:t xml:space="preserve"> </w:t>
      </w:r>
      <w:r w:rsidR="00B0177C" w:rsidRPr="00B0177C">
        <w:rPr>
          <w:rFonts w:eastAsia="Times New Roman"/>
          <w:lang w:eastAsia="en-GB"/>
        </w:rPr>
        <w:t xml:space="preserve">(Breuer, </w:t>
      </w:r>
      <w:proofErr w:type="spellStart"/>
      <w:r w:rsidR="00B0177C" w:rsidRPr="00B0177C">
        <w:rPr>
          <w:rFonts w:eastAsia="Times New Roman"/>
          <w:lang w:eastAsia="en-GB"/>
        </w:rPr>
        <w:t>Turbah</w:t>
      </w:r>
      <w:proofErr w:type="spellEnd"/>
      <w:r w:rsidR="00B0177C" w:rsidRPr="00B0177C">
        <w:rPr>
          <w:rFonts w:eastAsia="Times New Roman"/>
          <w:lang w:eastAsia="en-GB"/>
        </w:rPr>
        <w:t xml:space="preserve"> and Rinke, 2021)</w:t>
      </w:r>
      <w:r w:rsidR="00B0177C">
        <w:rPr>
          <w:rFonts w:eastAsia="Times New Roman"/>
          <w:lang w:eastAsia="en-GB"/>
        </w:rPr>
        <w:t>.</w:t>
      </w:r>
    </w:p>
    <w:p w14:paraId="6618E907" w14:textId="3DD38068" w:rsidR="00DF7416" w:rsidRPr="00DF7416" w:rsidRDefault="00DF7416" w:rsidP="00927C4E">
      <w:pPr>
        <w:numPr>
          <w:ilvl w:val="0"/>
          <w:numId w:val="1"/>
        </w:numPr>
        <w:spacing w:before="100" w:beforeAutospacing="1" w:after="100" w:afterAutospacing="1" w:line="480" w:lineRule="auto"/>
        <w:rPr>
          <w:rFonts w:eastAsia="Times New Roman"/>
          <w:lang w:eastAsia="en-GB"/>
        </w:rPr>
      </w:pPr>
      <w:r w:rsidRPr="00DF7416">
        <w:rPr>
          <w:rFonts w:eastAsia="Times New Roman"/>
          <w:b/>
          <w:bCs/>
          <w:lang w:eastAsia="en-GB"/>
        </w:rPr>
        <w:t>Deception and purpose misrepresentation:</w:t>
      </w:r>
      <w:r w:rsidRPr="00DF7416">
        <w:rPr>
          <w:rFonts w:eastAsia="Times New Roman"/>
          <w:lang w:eastAsia="en-GB"/>
        </w:rPr>
        <w:t xml:space="preserve"> The stated purpose of the surveys did not match the actual intent, violating principles of honesty, autonomy, and respect for persons</w:t>
      </w:r>
      <w:r w:rsidR="009A71B9">
        <w:rPr>
          <w:rFonts w:eastAsia="Times New Roman"/>
          <w:lang w:eastAsia="en-GB"/>
        </w:rPr>
        <w:t xml:space="preserve"> </w:t>
      </w:r>
      <w:r w:rsidR="009A71B9" w:rsidRPr="009A71B9">
        <w:rPr>
          <w:rFonts w:eastAsia="Times New Roman"/>
          <w:lang w:eastAsia="en-GB"/>
        </w:rPr>
        <w:t>(Singh et al., 2022; Cilliers and Viljoen, 2020)</w:t>
      </w:r>
      <w:r w:rsidR="009A71B9">
        <w:rPr>
          <w:rFonts w:eastAsia="Times New Roman"/>
          <w:lang w:eastAsia="en-GB"/>
        </w:rPr>
        <w:t>.</w:t>
      </w:r>
    </w:p>
    <w:p w14:paraId="64B0A262" w14:textId="77777777" w:rsidR="00DF7416" w:rsidRPr="00DF7416" w:rsidRDefault="00DF7416" w:rsidP="00927C4E">
      <w:pPr>
        <w:numPr>
          <w:ilvl w:val="0"/>
          <w:numId w:val="1"/>
        </w:numPr>
        <w:spacing w:before="100" w:beforeAutospacing="1" w:after="100" w:afterAutospacing="1" w:line="480" w:lineRule="auto"/>
        <w:rPr>
          <w:rFonts w:eastAsia="Times New Roman"/>
          <w:lang w:eastAsia="en-GB"/>
        </w:rPr>
      </w:pPr>
      <w:r w:rsidRPr="00DF7416">
        <w:rPr>
          <w:rFonts w:eastAsia="Times New Roman"/>
          <w:b/>
          <w:bCs/>
          <w:lang w:eastAsia="en-GB"/>
        </w:rPr>
        <w:t>Manipulation and exploitation:</w:t>
      </w:r>
      <w:r w:rsidRPr="00DF7416">
        <w:rPr>
          <w:rFonts w:eastAsia="Times New Roman"/>
          <w:lang w:eastAsia="en-GB"/>
        </w:rPr>
        <w:t xml:space="preserve"> Psychographic targeting exploited individuals' psychological traits, raising questions about undue influence and manipulation.</w:t>
      </w:r>
    </w:p>
    <w:p w14:paraId="61E85340" w14:textId="21FA1F9B" w:rsidR="00DF7416" w:rsidRPr="00DF7416" w:rsidRDefault="00DF7416" w:rsidP="00490B44">
      <w:pPr>
        <w:numPr>
          <w:ilvl w:val="0"/>
          <w:numId w:val="1"/>
        </w:numPr>
        <w:spacing w:before="100" w:beforeAutospacing="1" w:after="100" w:afterAutospacing="1" w:line="480" w:lineRule="auto"/>
        <w:rPr>
          <w:rFonts w:eastAsia="Times New Roman"/>
          <w:lang w:eastAsia="en-GB"/>
        </w:rPr>
      </w:pPr>
      <w:r w:rsidRPr="00DF7416">
        <w:rPr>
          <w:rFonts w:eastAsia="Times New Roman"/>
          <w:b/>
          <w:bCs/>
          <w:lang w:eastAsia="en-GB"/>
        </w:rPr>
        <w:t>Violation of privacy and dignity:</w:t>
      </w:r>
      <w:r w:rsidRPr="00DF7416">
        <w:rPr>
          <w:rFonts w:eastAsia="Times New Roman"/>
          <w:lang w:eastAsia="en-GB"/>
        </w:rPr>
        <w:t xml:space="preserve"> Harvesting data from non-participants (friends) breached core ethical principles of digital rights and user agency</w:t>
      </w:r>
      <w:r w:rsidR="00490B44">
        <w:rPr>
          <w:rFonts w:eastAsia="Times New Roman"/>
          <w:lang w:eastAsia="en-GB"/>
        </w:rPr>
        <w:t xml:space="preserve"> </w:t>
      </w:r>
      <w:r w:rsidR="00490B44" w:rsidRPr="00490B44">
        <w:rPr>
          <w:rFonts w:eastAsia="Times New Roman"/>
          <w:lang w:eastAsia="en-GB"/>
        </w:rPr>
        <w:t>(Hanlon, 2023)</w:t>
      </w:r>
      <w:r w:rsidR="00490B44">
        <w:rPr>
          <w:rFonts w:eastAsia="Times New Roman"/>
          <w:lang w:eastAsia="en-GB"/>
        </w:rPr>
        <w:t>.</w:t>
      </w:r>
    </w:p>
    <w:p w14:paraId="28CEB2C4" w14:textId="77777777" w:rsidR="00DF7416" w:rsidRPr="006E42C8" w:rsidRDefault="00DF7416" w:rsidP="006E42C8">
      <w:pPr>
        <w:pStyle w:val="Heading2"/>
        <w:rPr>
          <w:rFonts w:ascii="Arial" w:hAnsi="Arial" w:cs="Arial"/>
        </w:rPr>
      </w:pPr>
      <w:r w:rsidRPr="006E42C8">
        <w:rPr>
          <w:rFonts w:ascii="Arial" w:hAnsi="Arial" w:cs="Arial"/>
        </w:rPr>
        <w:t>5. Social Implications</w:t>
      </w:r>
    </w:p>
    <w:p w14:paraId="1CACCDFD" w14:textId="676855EF" w:rsidR="00DF7416" w:rsidRPr="00DF7416" w:rsidRDefault="00DF7416" w:rsidP="00160EA2">
      <w:pPr>
        <w:numPr>
          <w:ilvl w:val="0"/>
          <w:numId w:val="2"/>
        </w:numPr>
        <w:spacing w:before="100" w:beforeAutospacing="1" w:after="100" w:afterAutospacing="1" w:line="480" w:lineRule="auto"/>
        <w:rPr>
          <w:rFonts w:eastAsia="Times New Roman"/>
          <w:lang w:eastAsia="en-GB"/>
        </w:rPr>
      </w:pPr>
      <w:r w:rsidRPr="00DF7416">
        <w:rPr>
          <w:rFonts w:eastAsia="Times New Roman"/>
          <w:b/>
          <w:bCs/>
          <w:lang w:eastAsia="en-GB"/>
        </w:rPr>
        <w:t>Erosion of trust:</w:t>
      </w:r>
      <w:r w:rsidRPr="00DF7416">
        <w:rPr>
          <w:rFonts w:eastAsia="Times New Roman"/>
          <w:lang w:eastAsia="en-GB"/>
        </w:rPr>
        <w:t xml:space="preserve"> Public trust in social media platforms and digital services declined sharply following the scandal. Many users became more sceptical about online data collection</w:t>
      </w:r>
      <w:r w:rsidR="00AF47EF">
        <w:rPr>
          <w:rFonts w:eastAsia="Times New Roman"/>
          <w:lang w:eastAsia="en-GB"/>
        </w:rPr>
        <w:t xml:space="preserve"> </w:t>
      </w:r>
      <w:r w:rsidR="00AF47EF" w:rsidRPr="00AF47EF">
        <w:rPr>
          <w:rFonts w:eastAsia="Times New Roman"/>
          <w:lang w:eastAsia="en-GB"/>
        </w:rPr>
        <w:t>(Ho et al., 2023; Aagaard, 2023)</w:t>
      </w:r>
      <w:r w:rsidR="00AF47EF">
        <w:rPr>
          <w:rFonts w:eastAsia="Times New Roman"/>
          <w:lang w:eastAsia="en-GB"/>
        </w:rPr>
        <w:t>.</w:t>
      </w:r>
    </w:p>
    <w:p w14:paraId="2C673303" w14:textId="14D2C4AD" w:rsidR="00DF7416" w:rsidRPr="00DF7416" w:rsidRDefault="00DF7416" w:rsidP="00160EA2">
      <w:pPr>
        <w:numPr>
          <w:ilvl w:val="0"/>
          <w:numId w:val="2"/>
        </w:numPr>
        <w:spacing w:before="100" w:beforeAutospacing="1" w:after="100" w:afterAutospacing="1" w:line="480" w:lineRule="auto"/>
        <w:rPr>
          <w:rFonts w:eastAsia="Times New Roman"/>
          <w:lang w:eastAsia="en-GB"/>
        </w:rPr>
      </w:pPr>
      <w:r w:rsidRPr="00DF7416">
        <w:rPr>
          <w:rFonts w:eastAsia="Times New Roman"/>
          <w:b/>
          <w:bCs/>
          <w:lang w:eastAsia="en-GB"/>
        </w:rPr>
        <w:lastRenderedPageBreak/>
        <w:t>Impact on democracy:</w:t>
      </w:r>
      <w:r w:rsidRPr="00DF7416">
        <w:rPr>
          <w:rFonts w:eastAsia="Times New Roman"/>
          <w:lang w:eastAsia="en-GB"/>
        </w:rPr>
        <w:t xml:space="preserve"> Micro-targeted political adverts undermined transparency in democratic processes by delivering messages that were not publicly visible or subject to scrutiny</w:t>
      </w:r>
      <w:r w:rsidR="00AC3734">
        <w:rPr>
          <w:rFonts w:eastAsia="Times New Roman"/>
          <w:lang w:eastAsia="en-GB"/>
        </w:rPr>
        <w:t xml:space="preserve"> </w:t>
      </w:r>
      <w:r w:rsidR="00AC3734" w:rsidRPr="00AC3734">
        <w:rPr>
          <w:rFonts w:eastAsia="Times New Roman"/>
          <w:lang w:eastAsia="en-GB"/>
        </w:rPr>
        <w:t>(</w:t>
      </w:r>
      <w:proofErr w:type="spellStart"/>
      <w:r w:rsidR="00AC3734" w:rsidRPr="00AC3734">
        <w:rPr>
          <w:rFonts w:eastAsia="Times New Roman"/>
          <w:lang w:eastAsia="en-GB"/>
        </w:rPr>
        <w:t>Carrella</w:t>
      </w:r>
      <w:proofErr w:type="spellEnd"/>
      <w:r w:rsidR="00AC3734" w:rsidRPr="00AC3734">
        <w:rPr>
          <w:rFonts w:eastAsia="Times New Roman"/>
          <w:lang w:eastAsia="en-GB"/>
        </w:rPr>
        <w:t xml:space="preserve"> et al., 2025)</w:t>
      </w:r>
      <w:r w:rsidR="00AC3734">
        <w:rPr>
          <w:rFonts w:eastAsia="Times New Roman"/>
          <w:lang w:eastAsia="en-GB"/>
        </w:rPr>
        <w:t>.</w:t>
      </w:r>
    </w:p>
    <w:p w14:paraId="0E1CB43D" w14:textId="77777777" w:rsidR="00DF7416" w:rsidRPr="00DF7416" w:rsidRDefault="00DF7416" w:rsidP="00160EA2">
      <w:pPr>
        <w:numPr>
          <w:ilvl w:val="0"/>
          <w:numId w:val="2"/>
        </w:numPr>
        <w:spacing w:before="100" w:beforeAutospacing="1" w:after="100" w:afterAutospacing="1" w:line="480" w:lineRule="auto"/>
        <w:rPr>
          <w:rFonts w:eastAsia="Times New Roman"/>
          <w:lang w:eastAsia="en-GB"/>
        </w:rPr>
      </w:pPr>
      <w:r w:rsidRPr="00DF7416">
        <w:rPr>
          <w:rFonts w:eastAsia="Times New Roman"/>
          <w:b/>
          <w:bCs/>
          <w:lang w:eastAsia="en-GB"/>
        </w:rPr>
        <w:t>Digital inequality:</w:t>
      </w:r>
      <w:r w:rsidRPr="00DF7416">
        <w:rPr>
          <w:rFonts w:eastAsia="Times New Roman"/>
          <w:lang w:eastAsia="en-GB"/>
        </w:rPr>
        <w:t xml:space="preserve"> People with lower digital literacy were more likely to engage with these surveys without understanding their implications, contributing to unequal exposure.</w:t>
      </w:r>
    </w:p>
    <w:p w14:paraId="7E3B39D6" w14:textId="77777777" w:rsidR="00DF7416" w:rsidRPr="00DF7416" w:rsidRDefault="00DF7416" w:rsidP="00160EA2">
      <w:pPr>
        <w:numPr>
          <w:ilvl w:val="0"/>
          <w:numId w:val="2"/>
        </w:numPr>
        <w:spacing w:before="100" w:beforeAutospacing="1" w:after="100" w:afterAutospacing="1" w:line="480" w:lineRule="auto"/>
        <w:rPr>
          <w:rFonts w:eastAsia="Times New Roman"/>
          <w:lang w:eastAsia="en-GB"/>
        </w:rPr>
      </w:pPr>
      <w:r w:rsidRPr="00DF7416">
        <w:rPr>
          <w:rFonts w:eastAsia="Times New Roman"/>
          <w:b/>
          <w:bCs/>
          <w:lang w:eastAsia="en-GB"/>
        </w:rPr>
        <w:t>Normalisation of surveillance:</w:t>
      </w:r>
      <w:r w:rsidRPr="00DF7416">
        <w:rPr>
          <w:rFonts w:eastAsia="Times New Roman"/>
          <w:lang w:eastAsia="en-GB"/>
        </w:rPr>
        <w:t xml:space="preserve"> The incidents reinforced a culture where constant data extraction is viewed as unavoidable.</w:t>
      </w:r>
    </w:p>
    <w:p w14:paraId="0460C9A2" w14:textId="77777777" w:rsidR="00DF7416" w:rsidRPr="00E07A88" w:rsidRDefault="00DF7416" w:rsidP="006E42C8">
      <w:pPr>
        <w:pStyle w:val="Heading2"/>
        <w:rPr>
          <w:rFonts w:ascii="Arial" w:eastAsia="Times New Roman" w:hAnsi="Arial" w:cs="Arial"/>
          <w:lang w:eastAsia="en-GB"/>
        </w:rPr>
      </w:pPr>
      <w:r w:rsidRPr="00E07A88">
        <w:rPr>
          <w:rFonts w:ascii="Arial" w:eastAsia="Times New Roman" w:hAnsi="Arial" w:cs="Arial"/>
          <w:lang w:eastAsia="en-GB"/>
        </w:rPr>
        <w:t>6. Legal Implications</w:t>
      </w:r>
    </w:p>
    <w:p w14:paraId="1023F8A9" w14:textId="261C15E0" w:rsidR="00DF7416" w:rsidRPr="00DF7416" w:rsidRDefault="00DF7416" w:rsidP="00E07A88">
      <w:pPr>
        <w:numPr>
          <w:ilvl w:val="0"/>
          <w:numId w:val="3"/>
        </w:numPr>
        <w:spacing w:before="100" w:beforeAutospacing="1" w:after="100" w:afterAutospacing="1" w:line="480" w:lineRule="auto"/>
        <w:rPr>
          <w:rFonts w:eastAsia="Times New Roman"/>
          <w:lang w:eastAsia="en-GB"/>
        </w:rPr>
      </w:pPr>
      <w:r w:rsidRPr="00DF7416">
        <w:rPr>
          <w:rFonts w:eastAsia="Times New Roman"/>
          <w:b/>
          <w:bCs/>
          <w:lang w:eastAsia="en-GB"/>
        </w:rPr>
        <w:t>Data protection violations:</w:t>
      </w:r>
      <w:r w:rsidRPr="00DF7416">
        <w:rPr>
          <w:rFonts w:eastAsia="Times New Roman"/>
          <w:lang w:eastAsia="en-GB"/>
        </w:rPr>
        <w:t xml:space="preserve"> Regulators found that Facebook failed to protect user data and enforce its terms. Fines included £500,000 from the UK ICO and a $5 billion penalty from the US FTC</w:t>
      </w:r>
      <w:r w:rsidR="00AE183A">
        <w:rPr>
          <w:rFonts w:eastAsia="Times New Roman"/>
          <w:lang w:eastAsia="en-GB"/>
        </w:rPr>
        <w:t xml:space="preserve"> </w:t>
      </w:r>
      <w:r w:rsidR="00AE183A" w:rsidRPr="00AE183A">
        <w:rPr>
          <w:rFonts w:eastAsia="Times New Roman"/>
          <w:lang w:eastAsia="en-GB"/>
        </w:rPr>
        <w:t>(Huang, 2024)</w:t>
      </w:r>
      <w:r w:rsidR="00AE183A">
        <w:rPr>
          <w:rFonts w:eastAsia="Times New Roman"/>
          <w:lang w:eastAsia="en-GB"/>
        </w:rPr>
        <w:t>.</w:t>
      </w:r>
    </w:p>
    <w:p w14:paraId="4F0736B2" w14:textId="77777777" w:rsidR="00DF7416" w:rsidRPr="00DF7416" w:rsidRDefault="00DF7416" w:rsidP="00E07A88">
      <w:pPr>
        <w:numPr>
          <w:ilvl w:val="0"/>
          <w:numId w:val="3"/>
        </w:numPr>
        <w:spacing w:before="100" w:beforeAutospacing="1" w:after="100" w:afterAutospacing="1" w:line="480" w:lineRule="auto"/>
        <w:rPr>
          <w:rFonts w:eastAsia="Times New Roman"/>
          <w:lang w:eastAsia="en-GB"/>
        </w:rPr>
      </w:pPr>
      <w:r w:rsidRPr="00DF7416">
        <w:rPr>
          <w:rFonts w:eastAsia="Times New Roman"/>
          <w:b/>
          <w:bCs/>
          <w:lang w:eastAsia="en-GB"/>
        </w:rPr>
        <w:t>GDPR breaches:</w:t>
      </w:r>
      <w:r w:rsidRPr="00DF7416">
        <w:rPr>
          <w:rFonts w:eastAsia="Times New Roman"/>
          <w:lang w:eastAsia="en-GB"/>
        </w:rPr>
        <w:t xml:space="preserve"> The practices contravened GDPR principles, including lawfulness, fairness, transparency, purpose limitation, and data minimisation.</w:t>
      </w:r>
    </w:p>
    <w:p w14:paraId="62CA398E" w14:textId="5C28E269" w:rsidR="00DF7416" w:rsidRPr="00DF7416" w:rsidRDefault="00DF7416" w:rsidP="00E07A88">
      <w:pPr>
        <w:numPr>
          <w:ilvl w:val="0"/>
          <w:numId w:val="3"/>
        </w:numPr>
        <w:spacing w:before="100" w:beforeAutospacing="1" w:after="100" w:afterAutospacing="1" w:line="480" w:lineRule="auto"/>
        <w:rPr>
          <w:rFonts w:eastAsia="Times New Roman"/>
          <w:lang w:eastAsia="en-GB"/>
        </w:rPr>
      </w:pPr>
      <w:r w:rsidRPr="00DF7416">
        <w:rPr>
          <w:rFonts w:eastAsia="Times New Roman"/>
          <w:b/>
          <w:bCs/>
          <w:lang w:eastAsia="en-GB"/>
        </w:rPr>
        <w:t>Accountability and platform obligations:</w:t>
      </w:r>
      <w:r w:rsidRPr="00DF7416">
        <w:rPr>
          <w:rFonts w:eastAsia="Times New Roman"/>
          <w:lang w:eastAsia="en-GB"/>
        </w:rPr>
        <w:t xml:space="preserve"> The incident prompted global scrutiny of tech companies and strengthened the argument for tougher regulation of data-driven platforms</w:t>
      </w:r>
      <w:r w:rsidR="00FE29AD">
        <w:rPr>
          <w:rFonts w:eastAsia="Times New Roman"/>
          <w:lang w:eastAsia="en-GB"/>
        </w:rPr>
        <w:t xml:space="preserve"> </w:t>
      </w:r>
      <w:r w:rsidR="00FE29AD" w:rsidRPr="00FE29AD">
        <w:rPr>
          <w:rFonts w:eastAsia="Times New Roman"/>
          <w:lang w:eastAsia="en-GB"/>
        </w:rPr>
        <w:t>(van der Schyff, Flowerday and Furnell, 2020)</w:t>
      </w:r>
      <w:r w:rsidR="00FE29AD">
        <w:rPr>
          <w:rFonts w:eastAsia="Times New Roman"/>
          <w:lang w:eastAsia="en-GB"/>
        </w:rPr>
        <w:t>.</w:t>
      </w:r>
    </w:p>
    <w:p w14:paraId="7007AE6F" w14:textId="0ADA8E6E" w:rsidR="00DF7416" w:rsidRPr="00DF7416" w:rsidRDefault="00DF7416" w:rsidP="00E9420F">
      <w:pPr>
        <w:numPr>
          <w:ilvl w:val="0"/>
          <w:numId w:val="3"/>
        </w:numPr>
        <w:spacing w:before="100" w:beforeAutospacing="1" w:after="100" w:afterAutospacing="1" w:line="480" w:lineRule="auto"/>
        <w:rPr>
          <w:rFonts w:eastAsia="Times New Roman"/>
          <w:lang w:eastAsia="en-GB"/>
        </w:rPr>
      </w:pPr>
      <w:r w:rsidRPr="00DF7416">
        <w:rPr>
          <w:rFonts w:eastAsia="Times New Roman"/>
          <w:b/>
          <w:bCs/>
          <w:lang w:eastAsia="en-GB"/>
        </w:rPr>
        <w:t>Class-action settlements:</w:t>
      </w:r>
      <w:r w:rsidRPr="00DF7416">
        <w:rPr>
          <w:rFonts w:eastAsia="Times New Roman"/>
          <w:lang w:eastAsia="en-GB"/>
        </w:rPr>
        <w:t xml:space="preserve"> Meta later paid a $725 million settlement for improperly sharing user data.</w:t>
      </w:r>
    </w:p>
    <w:p w14:paraId="71BBC319" w14:textId="77777777" w:rsidR="00DF7416" w:rsidRPr="00E07A88" w:rsidRDefault="00DF7416" w:rsidP="00E07A88">
      <w:pPr>
        <w:pStyle w:val="Heading2"/>
        <w:rPr>
          <w:rFonts w:ascii="Arial" w:eastAsia="Times New Roman" w:hAnsi="Arial" w:cs="Arial"/>
          <w:lang w:eastAsia="en-GB"/>
        </w:rPr>
      </w:pPr>
      <w:r w:rsidRPr="00E07A88">
        <w:rPr>
          <w:rFonts w:ascii="Arial" w:eastAsia="Times New Roman" w:hAnsi="Arial" w:cs="Arial"/>
          <w:lang w:eastAsia="en-GB"/>
        </w:rPr>
        <w:t>7. Professional Implications</w:t>
      </w:r>
    </w:p>
    <w:p w14:paraId="4B3880B4" w14:textId="77777777" w:rsidR="00DF7416" w:rsidRPr="00DF7416" w:rsidRDefault="00DF7416" w:rsidP="00E07A88">
      <w:pPr>
        <w:spacing w:before="100" w:beforeAutospacing="1" w:after="100" w:afterAutospacing="1" w:line="480" w:lineRule="auto"/>
        <w:rPr>
          <w:rFonts w:eastAsia="Times New Roman"/>
          <w:lang w:eastAsia="en-GB"/>
        </w:rPr>
      </w:pPr>
      <w:r w:rsidRPr="00DF7416">
        <w:rPr>
          <w:rFonts w:eastAsia="Times New Roman"/>
          <w:lang w:eastAsia="en-GB"/>
        </w:rPr>
        <w:t xml:space="preserve">Standards such as the </w:t>
      </w:r>
      <w:r w:rsidRPr="00DF7416">
        <w:rPr>
          <w:rFonts w:eastAsia="Times New Roman"/>
          <w:b/>
          <w:bCs/>
          <w:lang w:eastAsia="en-GB"/>
        </w:rPr>
        <w:t>ACM Code of Ethics</w:t>
      </w:r>
      <w:r w:rsidRPr="00DF7416">
        <w:rPr>
          <w:rFonts w:eastAsia="Times New Roman"/>
          <w:lang w:eastAsia="en-GB"/>
        </w:rPr>
        <w:t xml:space="preserve"> and </w:t>
      </w:r>
      <w:r w:rsidRPr="00DF7416">
        <w:rPr>
          <w:rFonts w:eastAsia="Times New Roman"/>
          <w:b/>
          <w:bCs/>
          <w:lang w:eastAsia="en-GB"/>
        </w:rPr>
        <w:t>BCS Code of Conduct</w:t>
      </w:r>
      <w:r w:rsidRPr="00DF7416">
        <w:rPr>
          <w:rFonts w:eastAsia="Times New Roman"/>
          <w:lang w:eastAsia="en-GB"/>
        </w:rPr>
        <w:t xml:space="preserve"> emphasise responsibilities to protect user privacy, avoid harm, and ensure transparency.</w:t>
      </w:r>
    </w:p>
    <w:p w14:paraId="51AE6583" w14:textId="77777777" w:rsidR="00DF7416" w:rsidRPr="00DF7416" w:rsidRDefault="00DF7416" w:rsidP="00E07A88">
      <w:pPr>
        <w:spacing w:before="100" w:beforeAutospacing="1" w:after="100" w:afterAutospacing="1" w:line="480" w:lineRule="auto"/>
        <w:rPr>
          <w:rFonts w:eastAsia="Times New Roman"/>
          <w:lang w:eastAsia="en-GB"/>
        </w:rPr>
      </w:pPr>
      <w:r w:rsidRPr="00DF7416">
        <w:rPr>
          <w:rFonts w:eastAsia="Times New Roman"/>
          <w:lang w:eastAsia="en-GB"/>
        </w:rPr>
        <w:lastRenderedPageBreak/>
        <w:t>Professionally, the case highlights failures to:</w:t>
      </w:r>
    </w:p>
    <w:p w14:paraId="2A79308D" w14:textId="77777777" w:rsidR="00DF7416" w:rsidRPr="00DF7416" w:rsidRDefault="00DF7416" w:rsidP="00E07A88">
      <w:pPr>
        <w:numPr>
          <w:ilvl w:val="0"/>
          <w:numId w:val="4"/>
        </w:numPr>
        <w:spacing w:before="100" w:beforeAutospacing="1" w:after="100" w:afterAutospacing="1" w:line="480" w:lineRule="auto"/>
        <w:rPr>
          <w:rFonts w:eastAsia="Times New Roman"/>
          <w:lang w:eastAsia="en-GB"/>
        </w:rPr>
      </w:pPr>
      <w:r w:rsidRPr="00DF7416">
        <w:rPr>
          <w:rFonts w:eastAsia="Times New Roman"/>
          <w:lang w:eastAsia="en-GB"/>
        </w:rPr>
        <w:t>Apply responsible data governance and minimise harm.</w:t>
      </w:r>
    </w:p>
    <w:p w14:paraId="06486286" w14:textId="77777777" w:rsidR="00DF7416" w:rsidRPr="00DF7416" w:rsidRDefault="00DF7416" w:rsidP="00E07A88">
      <w:pPr>
        <w:numPr>
          <w:ilvl w:val="0"/>
          <w:numId w:val="4"/>
        </w:numPr>
        <w:spacing w:before="100" w:beforeAutospacing="1" w:after="100" w:afterAutospacing="1" w:line="480" w:lineRule="auto"/>
        <w:rPr>
          <w:rFonts w:eastAsia="Times New Roman"/>
          <w:lang w:eastAsia="en-GB"/>
        </w:rPr>
      </w:pPr>
      <w:r w:rsidRPr="00DF7416">
        <w:rPr>
          <w:rFonts w:eastAsia="Times New Roman"/>
          <w:lang w:eastAsia="en-GB"/>
        </w:rPr>
        <w:t>Communicate data usage clearly.</w:t>
      </w:r>
    </w:p>
    <w:p w14:paraId="21F8653B" w14:textId="77777777" w:rsidR="00DF7416" w:rsidRPr="00DF7416" w:rsidRDefault="00DF7416" w:rsidP="00E07A88">
      <w:pPr>
        <w:numPr>
          <w:ilvl w:val="0"/>
          <w:numId w:val="4"/>
        </w:numPr>
        <w:spacing w:before="100" w:beforeAutospacing="1" w:after="100" w:afterAutospacing="1" w:line="480" w:lineRule="auto"/>
        <w:rPr>
          <w:rFonts w:eastAsia="Times New Roman"/>
          <w:lang w:eastAsia="en-GB"/>
        </w:rPr>
      </w:pPr>
      <w:r w:rsidRPr="00DF7416">
        <w:rPr>
          <w:rFonts w:eastAsia="Times New Roman"/>
          <w:lang w:eastAsia="en-GB"/>
        </w:rPr>
        <w:t>Implement robust data access controls.</w:t>
      </w:r>
    </w:p>
    <w:p w14:paraId="515044E6" w14:textId="4DA92BDB" w:rsidR="00DF7416" w:rsidRPr="00DF7416" w:rsidRDefault="00DF7416" w:rsidP="00E07A88">
      <w:pPr>
        <w:numPr>
          <w:ilvl w:val="0"/>
          <w:numId w:val="4"/>
        </w:numPr>
        <w:spacing w:before="100" w:beforeAutospacing="1" w:after="100" w:afterAutospacing="1" w:line="480" w:lineRule="auto"/>
        <w:rPr>
          <w:rFonts w:eastAsia="Times New Roman"/>
          <w:lang w:eastAsia="en-GB"/>
        </w:rPr>
      </w:pPr>
      <w:r w:rsidRPr="00DF7416">
        <w:rPr>
          <w:rFonts w:eastAsia="Times New Roman"/>
          <w:lang w:eastAsia="en-GB"/>
        </w:rPr>
        <w:t>Ensure that research and development activities align with professional codes and societal expectations</w:t>
      </w:r>
      <w:r w:rsidR="00E9420F">
        <w:rPr>
          <w:rFonts w:eastAsia="Times New Roman"/>
          <w:lang w:eastAsia="en-GB"/>
        </w:rPr>
        <w:t xml:space="preserve"> </w:t>
      </w:r>
      <w:r w:rsidR="00E9420F" w:rsidRPr="00E9420F">
        <w:rPr>
          <w:rFonts w:eastAsia="Times New Roman"/>
          <w:lang w:eastAsia="en-GB"/>
        </w:rPr>
        <w:t xml:space="preserve">(Cilliers and Viljoen, 2020; Breuer, </w:t>
      </w:r>
      <w:proofErr w:type="spellStart"/>
      <w:r w:rsidR="00E9420F" w:rsidRPr="00E9420F">
        <w:rPr>
          <w:rFonts w:eastAsia="Times New Roman"/>
          <w:lang w:eastAsia="en-GB"/>
        </w:rPr>
        <w:t>Turbah</w:t>
      </w:r>
      <w:proofErr w:type="spellEnd"/>
      <w:r w:rsidR="00E9420F" w:rsidRPr="00E9420F">
        <w:rPr>
          <w:rFonts w:eastAsia="Times New Roman"/>
          <w:lang w:eastAsia="en-GB"/>
        </w:rPr>
        <w:t xml:space="preserve"> and Rinke, 2021)</w:t>
      </w:r>
      <w:r w:rsidR="00E9420F">
        <w:rPr>
          <w:rFonts w:eastAsia="Times New Roman"/>
          <w:lang w:eastAsia="en-GB"/>
        </w:rPr>
        <w:t>.</w:t>
      </w:r>
    </w:p>
    <w:p w14:paraId="5AE73EB2" w14:textId="7E22D298" w:rsidR="00DF7416" w:rsidRPr="00DF7416" w:rsidRDefault="00DF7416" w:rsidP="00E9420F">
      <w:pPr>
        <w:spacing w:before="100" w:beforeAutospacing="1" w:after="100" w:afterAutospacing="1" w:line="480" w:lineRule="auto"/>
        <w:rPr>
          <w:rFonts w:eastAsia="Times New Roman"/>
          <w:lang w:eastAsia="en-GB"/>
        </w:rPr>
      </w:pPr>
      <w:r w:rsidRPr="00DF7416">
        <w:rPr>
          <w:rFonts w:eastAsia="Times New Roman"/>
          <w:lang w:eastAsia="en-GB"/>
        </w:rPr>
        <w:t>For computing professionals, the events stress the need for stronger ethical awareness, transparency, and accountability in system design and data collection practices.</w:t>
      </w:r>
    </w:p>
    <w:p w14:paraId="745D077B" w14:textId="77777777" w:rsidR="00DF7416" w:rsidRPr="00E07A88" w:rsidRDefault="00DF7416" w:rsidP="00E07A88">
      <w:pPr>
        <w:pStyle w:val="Heading2"/>
        <w:rPr>
          <w:rFonts w:ascii="Arial" w:eastAsia="Times New Roman" w:hAnsi="Arial" w:cs="Arial"/>
          <w:lang w:eastAsia="en-GB"/>
        </w:rPr>
      </w:pPr>
      <w:r w:rsidRPr="00E07A88">
        <w:rPr>
          <w:rFonts w:ascii="Arial" w:eastAsia="Times New Roman" w:hAnsi="Arial" w:cs="Arial"/>
          <w:lang w:eastAsia="en-GB"/>
        </w:rPr>
        <w:t>8. Conclusion</w:t>
      </w:r>
    </w:p>
    <w:p w14:paraId="2FF4EB34" w14:textId="77777777" w:rsidR="00DF7416" w:rsidRPr="00DF7416" w:rsidRDefault="00DF7416" w:rsidP="00E07A88">
      <w:pPr>
        <w:spacing w:before="100" w:beforeAutospacing="1" w:after="100" w:afterAutospacing="1" w:line="480" w:lineRule="auto"/>
        <w:rPr>
          <w:rFonts w:eastAsia="Times New Roman"/>
          <w:lang w:eastAsia="en-GB"/>
        </w:rPr>
      </w:pPr>
      <w:r w:rsidRPr="00DF7416">
        <w:rPr>
          <w:rFonts w:eastAsia="Times New Roman"/>
          <w:lang w:eastAsia="en-GB"/>
        </w:rPr>
        <w:t xml:space="preserve">These cases demonstrate that survey tools—even those appearing harmless—can be exploited for large-scale data harvesting and behavioural manipulation. The Cambridge Analytica incident, the </w:t>
      </w:r>
      <w:proofErr w:type="spellStart"/>
      <w:r w:rsidRPr="00DF7416">
        <w:rPr>
          <w:rFonts w:eastAsia="Times New Roman"/>
          <w:i/>
          <w:iCs/>
          <w:lang w:eastAsia="en-GB"/>
        </w:rPr>
        <w:t>myPersonality</w:t>
      </w:r>
      <w:proofErr w:type="spellEnd"/>
      <w:r w:rsidRPr="00DF7416">
        <w:rPr>
          <w:rFonts w:eastAsia="Times New Roman"/>
          <w:lang w:eastAsia="en-GB"/>
        </w:rPr>
        <w:t xml:space="preserve"> app, and the mass suspension of similar tools collectively highlight the importance of ethical design, informed consent, and strict data governance. From ethical, social, legal, and professional standpoints, the misuse of surveys undermines public trust, violates privacy, threatens democratic processes, and breaches the duties expected of computing professionals.</w:t>
      </w:r>
    </w:p>
    <w:p w14:paraId="61EFE48F" w14:textId="77777777" w:rsidR="00DF7416" w:rsidRDefault="00DF7416" w:rsidP="00E07A88">
      <w:pPr>
        <w:spacing w:before="100" w:beforeAutospacing="1" w:after="100" w:afterAutospacing="1" w:line="480" w:lineRule="auto"/>
        <w:rPr>
          <w:rFonts w:eastAsia="Times New Roman"/>
          <w:lang w:eastAsia="en-GB"/>
        </w:rPr>
      </w:pPr>
      <w:r w:rsidRPr="00DF7416">
        <w:rPr>
          <w:rFonts w:eastAsia="Times New Roman"/>
          <w:lang w:eastAsia="en-GB"/>
        </w:rPr>
        <w:t>Ethical and transparent handling of survey data is essential for maintaining public trust and upholding professional standards in the digital age.</w:t>
      </w:r>
    </w:p>
    <w:p w14:paraId="5527E9B0" w14:textId="77777777" w:rsidR="004A65B7" w:rsidRDefault="004A65B7" w:rsidP="004A65B7">
      <w:pPr>
        <w:spacing w:before="100" w:beforeAutospacing="1" w:after="100" w:afterAutospacing="1" w:line="480" w:lineRule="auto"/>
        <w:rPr>
          <w:rFonts w:eastAsia="Times New Roman"/>
          <w:b/>
          <w:bCs/>
          <w:lang w:eastAsia="en-GB"/>
        </w:rPr>
      </w:pPr>
    </w:p>
    <w:p w14:paraId="768B9AD5" w14:textId="77777777" w:rsidR="004A65B7" w:rsidRDefault="004A65B7" w:rsidP="004A65B7">
      <w:pPr>
        <w:spacing w:before="100" w:beforeAutospacing="1" w:after="100" w:afterAutospacing="1" w:line="480" w:lineRule="auto"/>
        <w:rPr>
          <w:rFonts w:eastAsia="Times New Roman"/>
          <w:b/>
          <w:bCs/>
          <w:lang w:eastAsia="en-GB"/>
        </w:rPr>
      </w:pPr>
    </w:p>
    <w:p w14:paraId="22D8A4D5" w14:textId="773CE78A" w:rsidR="004A65B7" w:rsidRPr="004A65B7" w:rsidRDefault="004A65B7" w:rsidP="004A65B7">
      <w:pPr>
        <w:spacing w:before="100" w:beforeAutospacing="1" w:after="100" w:afterAutospacing="1" w:line="480" w:lineRule="auto"/>
        <w:rPr>
          <w:rFonts w:eastAsia="Times New Roman"/>
          <w:lang w:eastAsia="en-GB"/>
        </w:rPr>
      </w:pPr>
      <w:r w:rsidRPr="004A65B7">
        <w:rPr>
          <w:rFonts w:eastAsia="Times New Roman"/>
          <w:b/>
          <w:bCs/>
          <w:lang w:eastAsia="en-GB"/>
        </w:rPr>
        <w:lastRenderedPageBreak/>
        <w:t>References</w:t>
      </w:r>
    </w:p>
    <w:p w14:paraId="6C3833E7" w14:textId="77777777" w:rsidR="004A65B7" w:rsidRPr="004A65B7" w:rsidRDefault="004A65B7" w:rsidP="00FA036E">
      <w:pPr>
        <w:spacing w:before="100" w:beforeAutospacing="1" w:after="100" w:afterAutospacing="1" w:line="240" w:lineRule="auto"/>
        <w:rPr>
          <w:rFonts w:eastAsia="Times New Roman"/>
          <w:lang w:eastAsia="en-GB"/>
        </w:rPr>
      </w:pPr>
      <w:r w:rsidRPr="004A65B7">
        <w:rPr>
          <w:rFonts w:eastAsia="Times New Roman"/>
          <w:lang w:eastAsia="en-GB"/>
        </w:rPr>
        <w:t xml:space="preserve">Aagaard, P. (2023) ‘Political microtargeting: Towards a pragmatic approach’, </w:t>
      </w:r>
      <w:r w:rsidRPr="004A65B7">
        <w:rPr>
          <w:rFonts w:eastAsia="Times New Roman"/>
          <w:i/>
          <w:iCs/>
          <w:lang w:eastAsia="en-GB"/>
        </w:rPr>
        <w:t>Internet Policy Review</w:t>
      </w:r>
      <w:r w:rsidRPr="004A65B7">
        <w:rPr>
          <w:rFonts w:eastAsia="Times New Roman"/>
          <w:lang w:eastAsia="en-GB"/>
        </w:rPr>
        <w:t>, 12(2), pp. 1–17.</w:t>
      </w:r>
    </w:p>
    <w:p w14:paraId="432C0B6C" w14:textId="77777777" w:rsidR="004A65B7" w:rsidRPr="004A65B7" w:rsidRDefault="004A65B7" w:rsidP="00FA036E">
      <w:pPr>
        <w:spacing w:before="100" w:beforeAutospacing="1" w:after="100" w:afterAutospacing="1" w:line="240" w:lineRule="auto"/>
        <w:rPr>
          <w:rFonts w:eastAsia="Times New Roman"/>
          <w:lang w:eastAsia="en-GB"/>
        </w:rPr>
      </w:pPr>
      <w:r w:rsidRPr="004A65B7">
        <w:rPr>
          <w:rFonts w:eastAsia="Times New Roman"/>
          <w:lang w:eastAsia="en-GB"/>
        </w:rPr>
        <w:t xml:space="preserve">Bakir, V. (2020) ‘Assessing Cambridge Analytica’s psychographic profiling and Facebook data usage: Psychological operations or legitimate political campaigning?’, </w:t>
      </w:r>
      <w:r w:rsidRPr="004A65B7">
        <w:rPr>
          <w:rFonts w:eastAsia="Times New Roman"/>
          <w:i/>
          <w:iCs/>
          <w:lang w:eastAsia="en-GB"/>
        </w:rPr>
        <w:t>Frontiers in Communication</w:t>
      </w:r>
      <w:r w:rsidRPr="004A65B7">
        <w:rPr>
          <w:rFonts w:eastAsia="Times New Roman"/>
          <w:lang w:eastAsia="en-GB"/>
        </w:rPr>
        <w:t>, 5, 67.</w:t>
      </w:r>
    </w:p>
    <w:p w14:paraId="0BBEF44C" w14:textId="77777777" w:rsidR="004A65B7" w:rsidRPr="004A65B7" w:rsidRDefault="004A65B7" w:rsidP="00FA036E">
      <w:pPr>
        <w:spacing w:before="100" w:beforeAutospacing="1" w:after="100" w:afterAutospacing="1" w:line="240" w:lineRule="auto"/>
        <w:rPr>
          <w:rFonts w:eastAsia="Times New Roman"/>
          <w:lang w:eastAsia="en-GB"/>
        </w:rPr>
      </w:pPr>
      <w:r w:rsidRPr="004A65B7">
        <w:rPr>
          <w:rFonts w:eastAsia="Times New Roman"/>
          <w:lang w:eastAsia="en-GB"/>
        </w:rPr>
        <w:t xml:space="preserve">Breuer, J., </w:t>
      </w:r>
      <w:proofErr w:type="spellStart"/>
      <w:r w:rsidRPr="004A65B7">
        <w:rPr>
          <w:rFonts w:eastAsia="Times New Roman"/>
          <w:lang w:eastAsia="en-GB"/>
        </w:rPr>
        <w:t>Turbah</w:t>
      </w:r>
      <w:proofErr w:type="spellEnd"/>
      <w:r w:rsidRPr="004A65B7">
        <w:rPr>
          <w:rFonts w:eastAsia="Times New Roman"/>
          <w:lang w:eastAsia="en-GB"/>
        </w:rPr>
        <w:t xml:space="preserve">, S. and Rinke, E.M. (2021) ‘Informed consent for linking survey and social media data’, </w:t>
      </w:r>
      <w:r w:rsidRPr="004A65B7">
        <w:rPr>
          <w:rFonts w:eastAsia="Times New Roman"/>
          <w:i/>
          <w:iCs/>
          <w:lang w:eastAsia="en-GB"/>
        </w:rPr>
        <w:t>IASSIST Quarterly</w:t>
      </w:r>
      <w:r w:rsidRPr="004A65B7">
        <w:rPr>
          <w:rFonts w:eastAsia="Times New Roman"/>
          <w:lang w:eastAsia="en-GB"/>
        </w:rPr>
        <w:t>, 45(1), pp. 1–18.</w:t>
      </w:r>
    </w:p>
    <w:p w14:paraId="37AEB4B8" w14:textId="77777777" w:rsidR="004A65B7" w:rsidRPr="004A65B7" w:rsidRDefault="004A65B7" w:rsidP="00FA036E">
      <w:pPr>
        <w:spacing w:before="100" w:beforeAutospacing="1" w:after="100" w:afterAutospacing="1" w:line="240" w:lineRule="auto"/>
        <w:rPr>
          <w:rFonts w:eastAsia="Times New Roman"/>
          <w:lang w:eastAsia="en-GB"/>
        </w:rPr>
      </w:pPr>
      <w:proofErr w:type="spellStart"/>
      <w:r w:rsidRPr="004A65B7">
        <w:rPr>
          <w:rFonts w:eastAsia="Times New Roman"/>
          <w:lang w:eastAsia="en-GB"/>
        </w:rPr>
        <w:t>Carrella</w:t>
      </w:r>
      <w:proofErr w:type="spellEnd"/>
      <w:r w:rsidRPr="004A65B7">
        <w:rPr>
          <w:rFonts w:eastAsia="Times New Roman"/>
          <w:lang w:eastAsia="en-GB"/>
        </w:rPr>
        <w:t xml:space="preserve">, F. et al. (2025) ‘Warning people that they are being microtargeted fails to increase advertising scepticism’, </w:t>
      </w:r>
      <w:r w:rsidRPr="004A65B7">
        <w:rPr>
          <w:rFonts w:eastAsia="Times New Roman"/>
          <w:i/>
          <w:iCs/>
          <w:lang w:eastAsia="en-GB"/>
        </w:rPr>
        <w:t>PNAS Nexus</w:t>
      </w:r>
      <w:r w:rsidRPr="004A65B7">
        <w:rPr>
          <w:rFonts w:eastAsia="Times New Roman"/>
          <w:lang w:eastAsia="en-GB"/>
        </w:rPr>
        <w:t>, 4(3), pp. 1–10.</w:t>
      </w:r>
    </w:p>
    <w:p w14:paraId="4457B7A8" w14:textId="77777777" w:rsidR="004A65B7" w:rsidRPr="004A65B7" w:rsidRDefault="004A65B7" w:rsidP="00FA036E">
      <w:pPr>
        <w:spacing w:before="100" w:beforeAutospacing="1" w:after="100" w:afterAutospacing="1" w:line="240" w:lineRule="auto"/>
        <w:rPr>
          <w:rFonts w:eastAsia="Times New Roman"/>
          <w:lang w:eastAsia="en-GB"/>
        </w:rPr>
      </w:pPr>
      <w:r w:rsidRPr="004A65B7">
        <w:rPr>
          <w:rFonts w:eastAsia="Times New Roman"/>
          <w:lang w:eastAsia="en-GB"/>
        </w:rPr>
        <w:t xml:space="preserve">Cilliers, L. and Viljoen, K. (2020) ‘Ethical challenges in online research’, </w:t>
      </w:r>
      <w:r w:rsidRPr="004A65B7">
        <w:rPr>
          <w:rFonts w:eastAsia="Times New Roman"/>
          <w:i/>
          <w:iCs/>
          <w:lang w:eastAsia="en-GB"/>
        </w:rPr>
        <w:t>SA Journal of Information Management</w:t>
      </w:r>
      <w:r w:rsidRPr="004A65B7">
        <w:rPr>
          <w:rFonts w:eastAsia="Times New Roman"/>
          <w:lang w:eastAsia="en-GB"/>
        </w:rPr>
        <w:t>, 22(1), pp. 1–8.</w:t>
      </w:r>
    </w:p>
    <w:p w14:paraId="742D8670" w14:textId="77777777" w:rsidR="004A65B7" w:rsidRPr="004A65B7" w:rsidRDefault="004A65B7" w:rsidP="00015730">
      <w:pPr>
        <w:spacing w:before="100" w:beforeAutospacing="1" w:after="100" w:afterAutospacing="1" w:line="240" w:lineRule="auto"/>
        <w:rPr>
          <w:rFonts w:eastAsia="Times New Roman"/>
          <w:lang w:eastAsia="en-GB"/>
        </w:rPr>
      </w:pPr>
      <w:r w:rsidRPr="004A65B7">
        <w:rPr>
          <w:rFonts w:eastAsia="Times New Roman"/>
          <w:lang w:eastAsia="en-GB"/>
        </w:rPr>
        <w:t xml:space="preserve">Hanlon, A. (2023) ‘Ethical concerns about social media privacy policies: comprehension, consent and consumer vulnerability’, </w:t>
      </w:r>
      <w:r w:rsidRPr="004A65B7">
        <w:rPr>
          <w:rFonts w:eastAsia="Times New Roman"/>
          <w:i/>
          <w:iCs/>
          <w:lang w:eastAsia="en-GB"/>
        </w:rPr>
        <w:t>Journal of Marketing Communications</w:t>
      </w:r>
      <w:r w:rsidRPr="004A65B7">
        <w:rPr>
          <w:rFonts w:eastAsia="Times New Roman"/>
          <w:lang w:eastAsia="en-GB"/>
        </w:rPr>
        <w:t>, 29(7), pp. 743–762.</w:t>
      </w:r>
    </w:p>
    <w:p w14:paraId="118B71CC" w14:textId="77777777" w:rsidR="004A65B7" w:rsidRPr="004A65B7" w:rsidRDefault="004A65B7" w:rsidP="00015730">
      <w:pPr>
        <w:spacing w:before="100" w:beforeAutospacing="1" w:after="100" w:afterAutospacing="1" w:line="240" w:lineRule="auto"/>
        <w:rPr>
          <w:rFonts w:eastAsia="Times New Roman"/>
          <w:lang w:eastAsia="en-GB"/>
        </w:rPr>
      </w:pPr>
      <w:r w:rsidRPr="004A65B7">
        <w:rPr>
          <w:rFonts w:eastAsia="Times New Roman"/>
          <w:lang w:eastAsia="en-GB"/>
        </w:rPr>
        <w:t xml:space="preserve">Ho, F.N., Shim, S. et al. (2023) ‘The effects of privacy and data breaches on consumers’ trust, disclosure and protection behaviour on Facebook’, </w:t>
      </w:r>
      <w:r w:rsidRPr="004A65B7">
        <w:rPr>
          <w:rFonts w:eastAsia="Times New Roman"/>
          <w:i/>
          <w:iCs/>
          <w:lang w:eastAsia="en-GB"/>
        </w:rPr>
        <w:t>SAGE Open</w:t>
      </w:r>
      <w:r w:rsidRPr="004A65B7">
        <w:rPr>
          <w:rFonts w:eastAsia="Times New Roman"/>
          <w:lang w:eastAsia="en-GB"/>
        </w:rPr>
        <w:t>, 13(3), pp. 1–16.</w:t>
      </w:r>
    </w:p>
    <w:p w14:paraId="2D99635F" w14:textId="77777777" w:rsidR="004A65B7" w:rsidRPr="004A65B7" w:rsidRDefault="004A65B7" w:rsidP="00015730">
      <w:pPr>
        <w:spacing w:before="100" w:beforeAutospacing="1" w:after="100" w:afterAutospacing="1" w:line="240" w:lineRule="auto"/>
        <w:rPr>
          <w:rFonts w:eastAsia="Times New Roman"/>
          <w:lang w:eastAsia="en-GB"/>
        </w:rPr>
      </w:pPr>
      <w:r w:rsidRPr="004A65B7">
        <w:rPr>
          <w:rFonts w:eastAsia="Times New Roman"/>
          <w:lang w:eastAsia="en-GB"/>
        </w:rPr>
        <w:t xml:space="preserve">Huang, K. (2024) ‘Performing platform governance: Facebook and the stage management of scandal’, </w:t>
      </w:r>
      <w:r w:rsidRPr="004A65B7">
        <w:rPr>
          <w:rFonts w:eastAsia="Times New Roman"/>
          <w:i/>
          <w:iCs/>
          <w:lang w:eastAsia="en-GB"/>
        </w:rPr>
        <w:t>New Media &amp; Society</w:t>
      </w:r>
      <w:r w:rsidRPr="004A65B7">
        <w:rPr>
          <w:rFonts w:eastAsia="Times New Roman"/>
          <w:lang w:eastAsia="en-GB"/>
        </w:rPr>
        <w:t>, 26(5), pp. 1321–1342.</w:t>
      </w:r>
    </w:p>
    <w:p w14:paraId="7085F931" w14:textId="77777777" w:rsidR="004A65B7" w:rsidRPr="004A65B7" w:rsidRDefault="004A65B7" w:rsidP="00015730">
      <w:pPr>
        <w:spacing w:before="100" w:beforeAutospacing="1" w:after="0" w:line="480" w:lineRule="auto"/>
        <w:rPr>
          <w:rFonts w:eastAsia="Times New Roman"/>
          <w:lang w:eastAsia="en-GB"/>
        </w:rPr>
      </w:pPr>
      <w:r w:rsidRPr="004A65B7">
        <w:rPr>
          <w:rFonts w:eastAsia="Times New Roman"/>
          <w:lang w:eastAsia="en-GB"/>
        </w:rPr>
        <w:t xml:space="preserve">Hu, M. (2020) ‘Cambridge Analytica’s black box’, </w:t>
      </w:r>
      <w:r w:rsidRPr="004A65B7">
        <w:rPr>
          <w:rFonts w:eastAsia="Times New Roman"/>
          <w:i/>
          <w:iCs/>
          <w:lang w:eastAsia="en-GB"/>
        </w:rPr>
        <w:t>Big Data &amp; Society</w:t>
      </w:r>
      <w:r w:rsidRPr="004A65B7">
        <w:rPr>
          <w:rFonts w:eastAsia="Times New Roman"/>
          <w:lang w:eastAsia="en-GB"/>
        </w:rPr>
        <w:t>, 7(2), pp. 1–15.</w:t>
      </w:r>
    </w:p>
    <w:p w14:paraId="5EB5CA27" w14:textId="77777777" w:rsidR="004A65B7" w:rsidRPr="004A65B7" w:rsidRDefault="004A65B7" w:rsidP="00015730">
      <w:pPr>
        <w:spacing w:before="100" w:beforeAutospacing="1" w:after="100" w:afterAutospacing="1" w:line="240" w:lineRule="auto"/>
        <w:rPr>
          <w:rFonts w:eastAsia="Times New Roman"/>
          <w:lang w:eastAsia="en-GB"/>
        </w:rPr>
      </w:pPr>
      <w:r w:rsidRPr="004A65B7">
        <w:rPr>
          <w:rFonts w:eastAsia="Times New Roman"/>
          <w:lang w:eastAsia="en-GB"/>
        </w:rPr>
        <w:t xml:space="preserve">Singh, S. et al. (2022) ‘Safety and ethical concerns associated with conducting online survey studies with youth’, </w:t>
      </w:r>
      <w:r w:rsidRPr="004A65B7">
        <w:rPr>
          <w:rFonts w:eastAsia="Times New Roman"/>
          <w:i/>
          <w:iCs/>
          <w:lang w:eastAsia="en-GB"/>
        </w:rPr>
        <w:t>Indian Journal of Psychological Medicine</w:t>
      </w:r>
      <w:r w:rsidRPr="004A65B7">
        <w:rPr>
          <w:rFonts w:eastAsia="Times New Roman"/>
          <w:lang w:eastAsia="en-GB"/>
        </w:rPr>
        <w:t>, 44(3), pp. 220–225.</w:t>
      </w:r>
    </w:p>
    <w:p w14:paraId="7F193605" w14:textId="77777777" w:rsidR="004A65B7" w:rsidRPr="004A65B7" w:rsidRDefault="004A65B7" w:rsidP="00015730">
      <w:pPr>
        <w:spacing w:before="100" w:beforeAutospacing="1" w:after="100" w:afterAutospacing="1" w:line="240" w:lineRule="auto"/>
        <w:rPr>
          <w:rFonts w:eastAsia="Times New Roman"/>
          <w:lang w:eastAsia="en-GB"/>
        </w:rPr>
      </w:pPr>
      <w:r w:rsidRPr="004A65B7">
        <w:rPr>
          <w:rFonts w:eastAsia="Times New Roman"/>
          <w:lang w:eastAsia="en-GB"/>
        </w:rPr>
        <w:t xml:space="preserve">van der Schyff, K., Flowerday, S. and Furnell, S. (2020) ‘Privacy risk and the use of Facebook apps: A gendered perspective’, </w:t>
      </w:r>
      <w:r w:rsidRPr="004A65B7">
        <w:rPr>
          <w:rFonts w:eastAsia="Times New Roman"/>
          <w:i/>
          <w:iCs/>
          <w:lang w:eastAsia="en-GB"/>
        </w:rPr>
        <w:t>Computers &amp; Security</w:t>
      </w:r>
      <w:r w:rsidRPr="004A65B7">
        <w:rPr>
          <w:rFonts w:eastAsia="Times New Roman"/>
          <w:lang w:eastAsia="en-GB"/>
        </w:rPr>
        <w:t>, 97, 101951.</w:t>
      </w:r>
    </w:p>
    <w:p w14:paraId="7C2F1848" w14:textId="77777777" w:rsidR="004A65B7" w:rsidRPr="00DF7416" w:rsidRDefault="004A65B7" w:rsidP="00E07A88">
      <w:pPr>
        <w:spacing w:before="100" w:beforeAutospacing="1" w:after="100" w:afterAutospacing="1" w:line="480" w:lineRule="auto"/>
        <w:rPr>
          <w:rFonts w:eastAsia="Times New Roman"/>
          <w:lang w:eastAsia="en-GB"/>
        </w:rPr>
      </w:pPr>
    </w:p>
    <w:p w14:paraId="55BABFD3" w14:textId="77777777" w:rsidR="00A857B2" w:rsidRPr="00B31031" w:rsidRDefault="00A857B2"/>
    <w:sectPr w:rsidR="00A857B2" w:rsidRPr="00B31031" w:rsidSect="005B6D83">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55634"/>
    <w:multiLevelType w:val="multilevel"/>
    <w:tmpl w:val="A8F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3162B"/>
    <w:multiLevelType w:val="multilevel"/>
    <w:tmpl w:val="436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1349F"/>
    <w:multiLevelType w:val="multilevel"/>
    <w:tmpl w:val="FCE4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A0B05"/>
    <w:multiLevelType w:val="multilevel"/>
    <w:tmpl w:val="E6CC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951766">
    <w:abstractNumId w:val="1"/>
  </w:num>
  <w:num w:numId="2" w16cid:durableId="1332752251">
    <w:abstractNumId w:val="0"/>
  </w:num>
  <w:num w:numId="3" w16cid:durableId="275060099">
    <w:abstractNumId w:val="2"/>
  </w:num>
  <w:num w:numId="4" w16cid:durableId="147697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F6"/>
    <w:rsid w:val="00015730"/>
    <w:rsid w:val="00061599"/>
    <w:rsid w:val="000923AA"/>
    <w:rsid w:val="00160EA2"/>
    <w:rsid w:val="00490B44"/>
    <w:rsid w:val="004A65B7"/>
    <w:rsid w:val="005041F2"/>
    <w:rsid w:val="005941BB"/>
    <w:rsid w:val="005B6D83"/>
    <w:rsid w:val="005C42F6"/>
    <w:rsid w:val="00697917"/>
    <w:rsid w:val="006E42C8"/>
    <w:rsid w:val="008F039C"/>
    <w:rsid w:val="00927C4E"/>
    <w:rsid w:val="009A71B9"/>
    <w:rsid w:val="00A857B2"/>
    <w:rsid w:val="00A93A25"/>
    <w:rsid w:val="00AC3734"/>
    <w:rsid w:val="00AE183A"/>
    <w:rsid w:val="00AF47EF"/>
    <w:rsid w:val="00B0177C"/>
    <w:rsid w:val="00B31031"/>
    <w:rsid w:val="00CD0F32"/>
    <w:rsid w:val="00CF577E"/>
    <w:rsid w:val="00DF7416"/>
    <w:rsid w:val="00E07A88"/>
    <w:rsid w:val="00E9420F"/>
    <w:rsid w:val="00FA036E"/>
    <w:rsid w:val="00FE29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D7D141"/>
  <w15:chartTrackingRefBased/>
  <w15:docId w15:val="{4AC23115-E10F-4276-A361-C4ED6479A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2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2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2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2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2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2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2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2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2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2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2F6"/>
    <w:rPr>
      <w:rFonts w:eastAsiaTheme="majorEastAsia" w:cstheme="majorBidi"/>
      <w:color w:val="272727" w:themeColor="text1" w:themeTint="D8"/>
    </w:rPr>
  </w:style>
  <w:style w:type="paragraph" w:styleId="Title">
    <w:name w:val="Title"/>
    <w:basedOn w:val="Normal"/>
    <w:next w:val="Normal"/>
    <w:link w:val="TitleChar"/>
    <w:uiPriority w:val="10"/>
    <w:qFormat/>
    <w:rsid w:val="005C42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2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2F6"/>
    <w:pPr>
      <w:spacing w:before="160"/>
      <w:jc w:val="center"/>
    </w:pPr>
    <w:rPr>
      <w:i/>
      <w:iCs/>
      <w:color w:val="404040" w:themeColor="text1" w:themeTint="BF"/>
    </w:rPr>
  </w:style>
  <w:style w:type="character" w:customStyle="1" w:styleId="QuoteChar">
    <w:name w:val="Quote Char"/>
    <w:basedOn w:val="DefaultParagraphFont"/>
    <w:link w:val="Quote"/>
    <w:uiPriority w:val="29"/>
    <w:rsid w:val="005C42F6"/>
    <w:rPr>
      <w:i/>
      <w:iCs/>
      <w:color w:val="404040" w:themeColor="text1" w:themeTint="BF"/>
    </w:rPr>
  </w:style>
  <w:style w:type="paragraph" w:styleId="ListParagraph">
    <w:name w:val="List Paragraph"/>
    <w:basedOn w:val="Normal"/>
    <w:uiPriority w:val="34"/>
    <w:qFormat/>
    <w:rsid w:val="005C42F6"/>
    <w:pPr>
      <w:ind w:left="720"/>
      <w:contextualSpacing/>
    </w:pPr>
  </w:style>
  <w:style w:type="character" w:styleId="IntenseEmphasis">
    <w:name w:val="Intense Emphasis"/>
    <w:basedOn w:val="DefaultParagraphFont"/>
    <w:uiPriority w:val="21"/>
    <w:qFormat/>
    <w:rsid w:val="005C42F6"/>
    <w:rPr>
      <w:i/>
      <w:iCs/>
      <w:color w:val="0F4761" w:themeColor="accent1" w:themeShade="BF"/>
    </w:rPr>
  </w:style>
  <w:style w:type="paragraph" w:styleId="IntenseQuote">
    <w:name w:val="Intense Quote"/>
    <w:basedOn w:val="Normal"/>
    <w:next w:val="Normal"/>
    <w:link w:val="IntenseQuoteChar"/>
    <w:uiPriority w:val="30"/>
    <w:qFormat/>
    <w:rsid w:val="005C4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2F6"/>
    <w:rPr>
      <w:i/>
      <w:iCs/>
      <w:color w:val="0F4761" w:themeColor="accent1" w:themeShade="BF"/>
    </w:rPr>
  </w:style>
  <w:style w:type="character" w:styleId="IntenseReference">
    <w:name w:val="Intense Reference"/>
    <w:basedOn w:val="DefaultParagraphFont"/>
    <w:uiPriority w:val="32"/>
    <w:qFormat/>
    <w:rsid w:val="005C42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1154</Words>
  <Characters>7124</Characters>
  <Application>Microsoft Office Word</Application>
  <DocSecurity>0</DocSecurity>
  <Lines>137</Lines>
  <Paragraphs>62</Paragraphs>
  <ScaleCrop>false</ScaleCrop>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Abiodun</dc:creator>
  <cp:keywords/>
  <dc:description/>
  <cp:lastModifiedBy>David Abiodun</cp:lastModifiedBy>
  <cp:revision>26</cp:revision>
  <dcterms:created xsi:type="dcterms:W3CDTF">2025-11-21T21:21:00Z</dcterms:created>
  <dcterms:modified xsi:type="dcterms:W3CDTF">2025-11-21T22:07:00Z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19c30806-5819-4a34-a2a6-1aca5ef956f8</vt:lpwstr>
  </property>
</Properties>
</file>