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F1E46" w14:textId="57E7975E" w:rsidR="007858AA" w:rsidRPr="007858AA" w:rsidRDefault="007858AA" w:rsidP="007858AA">
      <w:pPr>
        <w:spacing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>This Bash script serves as a practical demonstration of Infrastructure as Code (</w:t>
      </w:r>
      <w:proofErr w:type="spellStart"/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>IaC</w:t>
      </w:r>
      <w:proofErr w:type="spellEnd"/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>) principles in OpenStack. By codifying the steps required to provision a network, configure security, launch a virtual machine (VM), and install Nginx, the script automates tasks that would otherwise require manual dashboard interaction. As such, it highlights the fundamental value of automation in cloud operations: speed, consistency, auditability, and safety.</w:t>
      </w:r>
    </w:p>
    <w:p w14:paraId="14C16FEF" w14:textId="02F7215A" w:rsidR="007858AA" w:rsidRPr="007858AA" w:rsidRDefault="007858AA" w:rsidP="007858AA">
      <w:pPr>
        <w:spacing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B2955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Speed and repeatability</w:t>
      </w: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. Automation reduces the time required to create infrastructure. The script provisions a network, security group, key pair, and VM in a single run, with a companion teardown function for rapid decommissioning. Empirical research shows that </w:t>
      </w:r>
      <w:proofErr w:type="spellStart"/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>IaC</w:t>
      </w:r>
      <w:proofErr w:type="spellEnd"/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 reduces provisioning time and enables faster delivery cycles (Rahman et al., 2019; Wiedemann, Lesch and Bogner, 2022).</w:t>
      </w:r>
    </w:p>
    <w:p w14:paraId="1B48E078" w14:textId="1CC50CD1" w:rsidR="007858AA" w:rsidRPr="007858AA" w:rsidRDefault="007858AA" w:rsidP="007858AA">
      <w:pPr>
        <w:spacing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B2955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Consistency and reduced error.</w:t>
      </w: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 By applying the </w:t>
      </w:r>
      <w:r w:rsidR="00D1593C">
        <w:rPr>
          <w:rFonts w:ascii="Arial" w:eastAsia="Times New Roman" w:hAnsi="Arial" w:cs="Arial"/>
          <w:kern w:val="0"/>
          <w:lang w:eastAsia="en-GB"/>
          <w14:ligatures w14:val="none"/>
        </w:rPr>
        <w:t>exact</w:t>
      </w: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instructions every time, scripting mitigates configuration drift. For example, the script restricts ingress traffic to SSH and HTTP only, ensuring a consistent security baseline. Repeated runs yield predictable environments, reducing human error</w:t>
      </w:r>
      <w:r w:rsidR="00D1593C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>a recurring issue in manual configuration (Rahman et al., 2019).</w:t>
      </w:r>
    </w:p>
    <w:p w14:paraId="5CA198E4" w14:textId="13ABBDB3" w:rsidR="007858AA" w:rsidRPr="007858AA" w:rsidRDefault="007858AA" w:rsidP="007858AA">
      <w:pPr>
        <w:spacing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B2955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Auditability and governance.</w:t>
      </w: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 Infrastructure expressed as code can be stored in version control, peer-reviewed, and subject to automated testing. This script incorporates parameterised variables and idempotent checks (e.g., “create if not exists”), supporting transparent governance in line with DevOps principles (Palomba et al., 2017; Wiedemann, Lesch and Bogner, 2022).</w:t>
      </w:r>
    </w:p>
    <w:p w14:paraId="68218450" w14:textId="1FB34049" w:rsidR="007858AA" w:rsidRPr="007858AA" w:rsidRDefault="007858AA" w:rsidP="007858AA">
      <w:pPr>
        <w:spacing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AD5013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Safety and lifecycle control.</w:t>
      </w: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 By including teardown and validation routines, the script helps prevent resource sprawl and supports operational hygiene. This responds to </w:t>
      </w: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risks highlighted by Chiari et al. (2022), who identify that </w:t>
      </w:r>
      <w:proofErr w:type="spellStart"/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>IaC</w:t>
      </w:r>
      <w:proofErr w:type="spellEnd"/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>, like application code, may introduce defects with real-world consequences if not managed.</w:t>
      </w:r>
    </w:p>
    <w:p w14:paraId="247DBAE3" w14:textId="4B9B480C" w:rsidR="007858AA" w:rsidRPr="00107C12" w:rsidRDefault="007858AA" w:rsidP="007858AA">
      <w:pPr>
        <w:spacing w:line="48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07C1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Critical perspective</w:t>
      </w:r>
    </w:p>
    <w:p w14:paraId="2C842FE2" w14:textId="3E7DC404" w:rsidR="007858AA" w:rsidRPr="007858AA" w:rsidRDefault="007858AA" w:rsidP="007858AA">
      <w:pPr>
        <w:spacing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While the benefits are clear, there are limitations and trade-offs to using Bash scripting as an </w:t>
      </w:r>
      <w:proofErr w:type="spellStart"/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>IaC</w:t>
      </w:r>
      <w:proofErr w:type="spellEnd"/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 mechanism.</w:t>
      </w:r>
    </w:p>
    <w:p w14:paraId="04ACFE4A" w14:textId="1F797CAD" w:rsidR="007858AA" w:rsidRPr="007858AA" w:rsidRDefault="007858AA" w:rsidP="007858AA">
      <w:pPr>
        <w:spacing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07C12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Imperative vs declarative.</w:t>
      </w: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 Bash scripts </w:t>
      </w:r>
      <w:r w:rsidR="00107C12">
        <w:rPr>
          <w:rFonts w:ascii="Arial" w:eastAsia="Times New Roman" w:hAnsi="Arial" w:cs="Arial"/>
          <w:kern w:val="0"/>
          <w:lang w:eastAsia="en-GB"/>
          <w14:ligatures w14:val="none"/>
        </w:rPr>
        <w:t>outline the step-by-step process for creating resources</w:t>
      </w: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. This provides control but can be verbose and less scalable than declarative </w:t>
      </w:r>
      <w:proofErr w:type="spellStart"/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>IaC</w:t>
      </w:r>
      <w:proofErr w:type="spellEnd"/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tools (e.g., Terraform, Heat), which instead define what the final state should look like (Rahman et al., 2019). As environments grow, declarative approaches generally reduce complexity.</w:t>
      </w:r>
    </w:p>
    <w:p w14:paraId="5F25D5D4" w14:textId="4ECD1649" w:rsidR="007858AA" w:rsidRPr="007858AA" w:rsidRDefault="007858AA" w:rsidP="007858AA">
      <w:pPr>
        <w:spacing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07C12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Error handling and idempotence.</w:t>
      </w: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 Although this script checks for existing resources, Bash lacks inherent state management. Declarative tools maintain infrastructure state and can automatically converge towards the desired configuration, </w:t>
      </w:r>
      <w:r w:rsidR="00107C12">
        <w:rPr>
          <w:rFonts w:ascii="Arial" w:eastAsia="Times New Roman" w:hAnsi="Arial" w:cs="Arial"/>
          <w:kern w:val="0"/>
          <w:lang w:eastAsia="en-GB"/>
          <w14:ligatures w14:val="none"/>
        </w:rPr>
        <w:t>making them more reliable in enterprise-scale contexts (Wiedemann, Lesch,</w:t>
      </w: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 and Bogner, 2022).</w:t>
      </w:r>
    </w:p>
    <w:p w14:paraId="27424C71" w14:textId="18217118" w:rsidR="007858AA" w:rsidRPr="007858AA" w:rsidRDefault="007858AA" w:rsidP="007858AA">
      <w:pPr>
        <w:spacing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07C12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Maintainability.</w:t>
      </w: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 Bash is widely available and </w:t>
      </w:r>
      <w:r w:rsidR="00974863">
        <w:rPr>
          <w:rFonts w:ascii="Arial" w:eastAsia="Times New Roman" w:hAnsi="Arial" w:cs="Arial"/>
          <w:kern w:val="0"/>
          <w:lang w:eastAsia="en-GB"/>
          <w14:ligatures w14:val="none"/>
        </w:rPr>
        <w:t>straightforward</w:t>
      </w: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, but </w:t>
      </w:r>
      <w:r w:rsidR="00974863">
        <w:rPr>
          <w:rFonts w:ascii="Arial" w:eastAsia="Times New Roman" w:hAnsi="Arial" w:cs="Arial"/>
          <w:kern w:val="0"/>
          <w:lang w:eastAsia="en-GB"/>
          <w14:ligatures w14:val="none"/>
        </w:rPr>
        <w:t xml:space="preserve">it can be </w:t>
      </w: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less maintainable in larger teams or complex systems. For example, multi-cloud or multi-region architectures would require additional scripts, increasing operational overhead. Studies suggest that tool choice significantly affects productivity and defect rates in </w:t>
      </w:r>
      <w:proofErr w:type="spellStart"/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>IaC</w:t>
      </w:r>
      <w:proofErr w:type="spellEnd"/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 projects (Chiari et al., 2022).</w:t>
      </w:r>
    </w:p>
    <w:p w14:paraId="54EF4925" w14:textId="25DF979B" w:rsidR="007858AA" w:rsidRPr="007858AA" w:rsidRDefault="007858AA" w:rsidP="007858AA">
      <w:pPr>
        <w:spacing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Thus, while Bash scripting is valuable for educational settings, prototypes, and lightweight automation, organisations at scale often migrate towards specialised </w:t>
      </w:r>
      <w:proofErr w:type="spellStart"/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>IaC</w:t>
      </w:r>
      <w:proofErr w:type="spellEnd"/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 platforms to balance control with maintainability. Critically, this reflects the broader </w:t>
      </w: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lifecycle of </w:t>
      </w:r>
      <w:proofErr w:type="spellStart"/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>IaC</w:t>
      </w:r>
      <w:proofErr w:type="spellEnd"/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 adoption</w:t>
      </w:r>
      <w:r w:rsidR="00974863">
        <w:rPr>
          <w:rFonts w:ascii="Arial" w:eastAsia="Times New Roman" w:hAnsi="Arial" w:cs="Arial"/>
          <w:kern w:val="0"/>
          <w:lang w:eastAsia="en-GB"/>
          <w14:ligatures w14:val="none"/>
        </w:rPr>
        <w:t>, starting with scripts and</w:t>
      </w: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then moving towards declarative frameworks integrated into CI/CD pipelines.</w:t>
      </w:r>
    </w:p>
    <w:p w14:paraId="7BC31B3D" w14:textId="3669E245" w:rsidR="007858AA" w:rsidRPr="007557C2" w:rsidRDefault="007858AA" w:rsidP="007858AA">
      <w:pPr>
        <w:spacing w:line="48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7557C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Conclusion</w:t>
      </w:r>
    </w:p>
    <w:p w14:paraId="7393956B" w14:textId="38AF7842" w:rsidR="00FB02B1" w:rsidRDefault="007858AA" w:rsidP="007858AA">
      <w:pPr>
        <w:spacing w:line="48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In summary, the Bash script demonstrates the tangible benefits of </w:t>
      </w:r>
      <w:proofErr w:type="spellStart"/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>IaC</w:t>
      </w:r>
      <w:proofErr w:type="spellEnd"/>
      <w:r w:rsidR="00107C12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>fast, consistent, auditable cloud provisioning</w:t>
      </w:r>
      <w:r w:rsidR="00974863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 w:rsidR="00107C12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while also exposing the challenges of relying on imperative scripting at scale. It therefore serves as a stepping stone for understanding </w:t>
      </w:r>
      <w:proofErr w:type="spellStart"/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>IaC</w:t>
      </w:r>
      <w:proofErr w:type="spellEnd"/>
      <w:r w:rsidRPr="007858AA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concepts and a bridge to more advanced frameworks, highlighting both the strengths and limitations of scripting automation in cloud operations.</w:t>
      </w:r>
    </w:p>
    <w:p w14:paraId="0F62C02F" w14:textId="77777777" w:rsidR="00ED45B2" w:rsidRPr="00ED45B2" w:rsidRDefault="00ED45B2" w:rsidP="00ED45B2">
      <w:pPr>
        <w:spacing w:line="480" w:lineRule="auto"/>
        <w:rPr>
          <w:b/>
          <w:bCs/>
        </w:rPr>
      </w:pPr>
      <w:r w:rsidRPr="00ED45B2">
        <w:rPr>
          <w:b/>
          <w:bCs/>
        </w:rPr>
        <w:t>References</w:t>
      </w:r>
    </w:p>
    <w:p w14:paraId="5A738D4F" w14:textId="77777777" w:rsidR="00ED45B2" w:rsidRPr="00ED45B2" w:rsidRDefault="00ED45B2" w:rsidP="00ED45B2">
      <w:pPr>
        <w:spacing w:line="240" w:lineRule="auto"/>
        <w:rPr>
          <w:rFonts w:ascii="Arial" w:hAnsi="Arial" w:cs="Arial"/>
        </w:rPr>
      </w:pPr>
      <w:r w:rsidRPr="00ED45B2">
        <w:rPr>
          <w:rFonts w:ascii="Arial" w:hAnsi="Arial" w:cs="Arial"/>
        </w:rPr>
        <w:t xml:space="preserve">Chiari, M., Di Biase, M., Leppänen, V. and Palomba, F. (2022) ‘Infrastructure as Code: The state of research and practice’, </w:t>
      </w:r>
      <w:proofErr w:type="spellStart"/>
      <w:r w:rsidRPr="00ED45B2">
        <w:rPr>
          <w:rFonts w:ascii="Arial" w:hAnsi="Arial" w:cs="Arial"/>
          <w:i/>
          <w:iCs/>
        </w:rPr>
        <w:t>arXiv</w:t>
      </w:r>
      <w:proofErr w:type="spellEnd"/>
      <w:r w:rsidRPr="00ED45B2">
        <w:rPr>
          <w:rFonts w:ascii="Arial" w:hAnsi="Arial" w:cs="Arial"/>
          <w:i/>
          <w:iCs/>
        </w:rPr>
        <w:t xml:space="preserve"> preprint</w:t>
      </w:r>
      <w:r w:rsidRPr="00ED45B2">
        <w:rPr>
          <w:rFonts w:ascii="Arial" w:hAnsi="Arial" w:cs="Arial"/>
        </w:rPr>
        <w:t xml:space="preserve"> arXiv:2206.10344. Available at: https://arxiv.org/abs/2206.10344 (Accessed: 17 August 2025).</w:t>
      </w:r>
    </w:p>
    <w:p w14:paraId="1E00FF6B" w14:textId="77777777" w:rsidR="00ED45B2" w:rsidRPr="00ED45B2" w:rsidRDefault="00ED45B2" w:rsidP="00ED45B2">
      <w:pPr>
        <w:spacing w:line="240" w:lineRule="auto"/>
        <w:rPr>
          <w:rFonts w:ascii="Arial" w:hAnsi="Arial" w:cs="Arial"/>
        </w:rPr>
      </w:pPr>
      <w:r w:rsidRPr="00ED45B2">
        <w:rPr>
          <w:rFonts w:ascii="Arial" w:hAnsi="Arial" w:cs="Arial"/>
        </w:rPr>
        <w:t xml:space="preserve">Palomba, F., Tamburri, D.A., </w:t>
      </w:r>
      <w:proofErr w:type="spellStart"/>
      <w:r w:rsidRPr="00ED45B2">
        <w:rPr>
          <w:rFonts w:ascii="Arial" w:hAnsi="Arial" w:cs="Arial"/>
        </w:rPr>
        <w:t>Serebrenik</w:t>
      </w:r>
      <w:proofErr w:type="spellEnd"/>
      <w:r w:rsidRPr="00ED45B2">
        <w:rPr>
          <w:rFonts w:ascii="Arial" w:hAnsi="Arial" w:cs="Arial"/>
        </w:rPr>
        <w:t xml:space="preserve">, A. and Zaidman, A. (2017) ‘Infrastructure as Code: A survey and future directions’, in </w:t>
      </w:r>
      <w:r w:rsidRPr="00ED45B2">
        <w:rPr>
          <w:rFonts w:ascii="Arial" w:hAnsi="Arial" w:cs="Arial"/>
          <w:i/>
          <w:iCs/>
        </w:rPr>
        <w:t>ICSE NIER</w:t>
      </w:r>
      <w:r w:rsidRPr="00ED45B2">
        <w:rPr>
          <w:rFonts w:ascii="Arial" w:hAnsi="Arial" w:cs="Arial"/>
        </w:rPr>
        <w:t>. IEEE, pp. 341–344. Available at: https://fpalomba.github.io/pdf/Conferencs/C42.pdf (Accessed: 17 August 2025).</w:t>
      </w:r>
    </w:p>
    <w:p w14:paraId="27537F0B" w14:textId="77777777" w:rsidR="00ED45B2" w:rsidRPr="00ED45B2" w:rsidRDefault="00ED45B2" w:rsidP="00ED45B2">
      <w:pPr>
        <w:spacing w:line="240" w:lineRule="auto"/>
        <w:rPr>
          <w:rFonts w:ascii="Arial" w:hAnsi="Arial" w:cs="Arial"/>
        </w:rPr>
      </w:pPr>
      <w:r w:rsidRPr="00ED45B2">
        <w:rPr>
          <w:rFonts w:ascii="Arial" w:hAnsi="Arial" w:cs="Arial"/>
        </w:rPr>
        <w:t xml:space="preserve">Rahman, M.A., Williams, L., Barik, T. and Parnin, C. (2019) ‘A systematic mapping study of Infrastructure as Code research’, </w:t>
      </w:r>
      <w:r w:rsidRPr="00ED45B2">
        <w:rPr>
          <w:rFonts w:ascii="Arial" w:hAnsi="Arial" w:cs="Arial"/>
          <w:i/>
          <w:iCs/>
        </w:rPr>
        <w:t>Information and Software Technology</w:t>
      </w:r>
      <w:r w:rsidRPr="00ED45B2">
        <w:rPr>
          <w:rFonts w:ascii="Arial" w:hAnsi="Arial" w:cs="Arial"/>
        </w:rPr>
        <w:t xml:space="preserve">, 108, pp. 65–77. </w:t>
      </w:r>
      <w:proofErr w:type="spellStart"/>
      <w:r w:rsidRPr="00ED45B2">
        <w:rPr>
          <w:rFonts w:ascii="Arial" w:hAnsi="Arial" w:cs="Arial"/>
        </w:rPr>
        <w:t>doi</w:t>
      </w:r>
      <w:proofErr w:type="spellEnd"/>
      <w:r w:rsidRPr="00ED45B2">
        <w:rPr>
          <w:rFonts w:ascii="Arial" w:hAnsi="Arial" w:cs="Arial"/>
        </w:rPr>
        <w:t>: 10.1016/j.infsof.2018.12.004.</w:t>
      </w:r>
    </w:p>
    <w:p w14:paraId="493D944C" w14:textId="77777777" w:rsidR="00ED45B2" w:rsidRPr="00ED45B2" w:rsidRDefault="00ED45B2" w:rsidP="00ED45B2">
      <w:pPr>
        <w:spacing w:line="240" w:lineRule="auto"/>
        <w:rPr>
          <w:rFonts w:ascii="Arial" w:hAnsi="Arial" w:cs="Arial"/>
        </w:rPr>
      </w:pPr>
      <w:r w:rsidRPr="00ED45B2">
        <w:rPr>
          <w:rFonts w:ascii="Arial" w:hAnsi="Arial" w:cs="Arial"/>
        </w:rPr>
        <w:t xml:space="preserve">Wiedemann, A., Lesch, V. and Bogner, J. (2022) ‘Infrastructure as Code: A survey on the state of practice’, </w:t>
      </w:r>
      <w:r w:rsidRPr="00ED45B2">
        <w:rPr>
          <w:rFonts w:ascii="Arial" w:hAnsi="Arial" w:cs="Arial"/>
          <w:i/>
          <w:iCs/>
        </w:rPr>
        <w:t>Empirical Software Engineering</w:t>
      </w:r>
      <w:r w:rsidRPr="00ED45B2">
        <w:rPr>
          <w:rFonts w:ascii="Arial" w:hAnsi="Arial" w:cs="Arial"/>
        </w:rPr>
        <w:t xml:space="preserve">, 27(3), pp. 1–37. </w:t>
      </w:r>
      <w:proofErr w:type="spellStart"/>
      <w:r w:rsidRPr="00ED45B2">
        <w:rPr>
          <w:rFonts w:ascii="Arial" w:hAnsi="Arial" w:cs="Arial"/>
        </w:rPr>
        <w:t>doi</w:t>
      </w:r>
      <w:proofErr w:type="spellEnd"/>
      <w:r w:rsidRPr="00ED45B2">
        <w:rPr>
          <w:rFonts w:ascii="Arial" w:hAnsi="Arial" w:cs="Arial"/>
        </w:rPr>
        <w:t>: 10.1007/s10664-021-10053-5.</w:t>
      </w:r>
    </w:p>
    <w:p w14:paraId="35FE3B05" w14:textId="77777777" w:rsidR="00ED45B2" w:rsidRPr="007858AA" w:rsidRDefault="00ED45B2" w:rsidP="00ED45B2">
      <w:pPr>
        <w:spacing w:line="240" w:lineRule="auto"/>
      </w:pPr>
    </w:p>
    <w:sectPr w:rsidR="00ED45B2" w:rsidRPr="00785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B1"/>
    <w:rsid w:val="00107C12"/>
    <w:rsid w:val="003B2955"/>
    <w:rsid w:val="007557C2"/>
    <w:rsid w:val="007858AA"/>
    <w:rsid w:val="007872A7"/>
    <w:rsid w:val="00965B40"/>
    <w:rsid w:val="00974863"/>
    <w:rsid w:val="00AD5013"/>
    <w:rsid w:val="00B17670"/>
    <w:rsid w:val="00B7185E"/>
    <w:rsid w:val="00CA3589"/>
    <w:rsid w:val="00D1593C"/>
    <w:rsid w:val="00E44734"/>
    <w:rsid w:val="00ED45B2"/>
    <w:rsid w:val="00F803C0"/>
    <w:rsid w:val="00FB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9C7FE"/>
  <w15:chartTrackingRefBased/>
  <w15:docId w15:val="{766F2163-922A-4C7D-816E-5F8CD29B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2B1"/>
  </w:style>
  <w:style w:type="paragraph" w:styleId="Heading1">
    <w:name w:val="heading 1"/>
    <w:basedOn w:val="Normal"/>
    <w:next w:val="Normal"/>
    <w:link w:val="Heading1Char"/>
    <w:uiPriority w:val="9"/>
    <w:qFormat/>
    <w:rsid w:val="00FB0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4142</Characters>
  <Application>Microsoft Office Word</Application>
  <DocSecurity>0</DocSecurity>
  <Lines>69</Lines>
  <Paragraphs>20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Abiodun</dc:creator>
  <cp:keywords/>
  <dc:description/>
  <cp:lastModifiedBy>David Abiodun</cp:lastModifiedBy>
  <cp:revision>2</cp:revision>
  <dcterms:created xsi:type="dcterms:W3CDTF">2025-10-15T17:55:00Z</dcterms:created>
  <dcterms:modified xsi:type="dcterms:W3CDTF">2025-10-15T17:55:00Z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565f2ecb-5e06-4021-b713-37119026b1d6</vt:lpwstr>
  </property>
</Properties>
</file>