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个人商业分析平台研究与决策规程</w:t>
      </w:r>
    </w:p>
    <w:p>
      <w:pPr>
        <w:pStyle w:val="Subtitle"/>
      </w:pPr>
      <w:r>
        <w:t>设计版本 1.0  2026年10月25日</w:t>
      </w:r>
    </w:p>
    <w:p>
      <w:r>
        <w:t>这份规程规定平台如何提出问题、读取证据、形成解释、补充信息、评价企业与证券、表达不确定性，以及在新事实出现后修改或撤回结论。它面向以中长期研究为主的个人使用者，首期覆盖美股、港股和A股。企业商业分析构成主干，证券估值与账户决策在此基础上分别进行。</w:t>
      </w:r>
    </w:p>
    <w:p>
      <w:r>
        <w:t>本项目的核心判断是采用问题驱动的研究制度。研究从一个可能改变决定的问题开始，围绕竞争解释获取有区分力的证据，经过财务建模和反方审查形成有条件的结论。资料数量、报告长度和观点鲜明程度不能替代证据。</w:t>
      </w:r>
    </w:p>
    <w:p>
      <w:r>
        <w:t>状态说明  本版完成方法与产品规则设计。此前六家公司完成的是公开取数、关键口径核验、事件传导示例和假设敏感性验证，尚未证明完整盈利估值能力、概率校准、账户适配或实际投资绩效。平台尚未实现，部分数据接口仅验证过单次读取。文中门槛和流程属于本项目设计，不代表任何投资大师或机构的内部规定。</w:t>
      </w:r>
    </w:p>
    <w:p>
      <w:pPr>
        <w:pStyle w:val="Heading1"/>
      </w:pPr>
      <w:r>
        <w:t>一 平台服务的决定和研究边界</w:t>
      </w:r>
    </w:p>
    <w:p>
      <w:r>
        <w:t>个人使用者需要一套能够长期积累判断的研究能力。平台应减少重复查资料和口径错误，把注意力放在少数能够改变商业判断、估值或风险承受能力的变量上。移动端承担变化提醒、核查和记录；深度比较与建模使用较大的工作界面。</w:t>
      </w:r>
    </w:p>
    <w:p>
      <w:r>
        <w:t>同一家公司的经营质量、增长潜力、当前证券回报和适合个人持有的程度可能不同。任何结论都要说明对象、期间和比较基准。行业研究也可以独立存在，不必强行转成股票目标价。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728"/>
        <w:gridCol w:w="3671"/>
        <w:gridCol w:w="4536"/>
      </w:tblGrid>
      <w:tr>
        <w:trPr>
          <w:tblHeader/>
          <w:cantSplit/>
        </w:trPr>
        <w:tc>
          <w:tcPr>
            <w:tcW w:type="dxa" w:w="1728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判断对象</w:t>
            </w:r>
          </w:p>
        </w:tc>
        <w:tc>
          <w:tcPr>
            <w:tcW w:type="dxa" w:w="3672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要回答的内容</w:t>
            </w:r>
          </w:p>
        </w:tc>
        <w:tc>
          <w:tcPr>
            <w:tcW w:type="dxa" w:w="453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完成所需条件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企业与行业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如何赚钱 竞争优势 增长约束 资本配置 生存能力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业务机制可解释 核心事实与反证可追溯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事件与预测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新信息改变什么 在何时影响多大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有传导路径 明确假设与未知 有后续检验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证券经济性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当前价格要求什么 可能获得什么回报 如何损失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价格和权益口径一致 有完整预测或适当估值依据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账户决定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是否适合持有 规模与期限如何约束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了解资金用途 流动性 现有暴露 损失承受能力及成本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首期不宣称具备全行业同等专长。对会计、临床、技术、监管或交易结构存在决定性理解缺口的对象，转为需要专业复核的研究任务。未取得账户资料时，停留在公司与证券研究层，不能自动产生个性化仓位动作。</w:t>
      </w:r>
    </w:p>
    <w:p>
      <w:pPr>
        <w:pStyle w:val="Heading1"/>
      </w:pPr>
      <w:r>
        <w:t>二 信息到决定之间的六种记录</w:t>
      </w:r>
    </w:p>
    <w:p>
      <w:r>
        <w:t>平台应分别保存观察事实、待检验判断、因果解释、未来预测、估值与行动。它们通过来源和依赖关系相连，不能用一段流畅的摘要把边界抹平。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728"/>
        <w:gridCol w:w="3671"/>
        <w:gridCol w:w="4536"/>
      </w:tblGrid>
      <w:tr>
        <w:trPr>
          <w:tblHeader/>
          <w:cantSplit/>
        </w:trPr>
        <w:tc>
          <w:tcPr>
            <w:tcW w:type="dxa" w:w="1728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记录</w:t>
            </w:r>
          </w:p>
        </w:tc>
        <w:tc>
          <w:tcPr>
            <w:tcW w:type="dxa" w:w="3672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示例含义</w:t>
            </w:r>
          </w:p>
        </w:tc>
        <w:tc>
          <w:tcPr>
            <w:tcW w:type="dxa" w:w="453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必须记录的边界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事实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公司在某期报告了某项收入或现金流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原文 期间 单位 口径 公开时间 版本 提取核验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判断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增长主要来自真实终端需求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支持与反对证据 哪些观察可以推翻它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机制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订单如何经过交付 价格 成本影响利润和现金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中间环节 时滞 转嫁 抵消和替代解释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预测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明确日期前某项指标落入某区间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条件 期限 结算来源 信息截止点 校准状态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估值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在一组预测和资本成本下得到价值区间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预测版本 币种 股本 净债务 模型假设与敏感性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行动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补证 等待 放弃 复核或提出有条件投资建议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决策理由 替代选择 约束 失效条件 下一验证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公司指引作为管理层陈述保存；一致预期作为特定供应商在某时点的预测集合保存；股价隐含条件作为模型推断保存。原始文件可以可靠证明公司披露了什么，不能因此证明所有解释正确或未来指引必然实现。</w:t>
      </w:r>
      <w:hyperlink r:id="rId11">
        <w:r>
          <w:rPr>
            <w:color w:val="244A64"/>
            <w:rFonts w:ascii="Hiragino Sans GB" w:hAnsi="Hiragino Sans GB" w:eastAsia="Hiragino Sans GB" w:cs="Hiragino Sans GB"/>
          </w:rPr>
          <w:t>[S9]</w:t>
        </w:r>
      </w:hyperlink>
      <w:r/>
    </w:p>
    <w:p>
      <w:pPr>
        <w:pStyle w:val="Heading1"/>
      </w:pPr>
      <w:r>
        <w:t>三 研究状态和进入下一步的条件</w:t>
      </w:r>
    </w:p>
    <w:p>
      <w:r>
        <w:t>每项研究从候选进入以下状态。缺一项条件时，限制对应层次的结论，同时继续可独立完成的工作。暂停、放弃和无法判断是合法产出。不能因为已经花了很多时间，就强行升级研究状态。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728"/>
        <w:gridCol w:w="3671"/>
        <w:gridCol w:w="4536"/>
      </w:tblGrid>
      <w:tr>
        <w:trPr>
          <w:tblHeader/>
          <w:cantSplit/>
        </w:trPr>
        <w:tc>
          <w:tcPr>
            <w:tcW w:type="dxa" w:w="1728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状态</w:t>
            </w:r>
          </w:p>
        </w:tc>
        <w:tc>
          <w:tcPr>
            <w:tcW w:type="dxa" w:w="3672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必须交付</w:t>
            </w:r>
          </w:p>
        </w:tc>
        <w:tc>
          <w:tcPr>
            <w:tcW w:type="dxa" w:w="453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通过条件或处理方式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明确问题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决定对象 期限 可选动作 重要性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问题可回答 并可能改变某项决定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核实证据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来源清单 核心财务与业务基线 缺口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决定性数字的实体 期间 单位和范围无未解错误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竞争解释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主假设 最强替代解释 各自预测的观察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知道什么证据能区分它们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建立模型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业务驱动到利润 现金和资本的关系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关系可解释 可复算 所有假设可见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情景与估值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下行 基准 上行 价格隐含条件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方法适合行业 关键暴露与价值依赖清楚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反方审查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最强反对意见 失败链 缺口处理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反方可能改变结论 并已得到实质回应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形成结论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分层方向 信心理由 准备程度 行动与条件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没有超出证据范围 不确定性进入决定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持续监测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验证点 新证据 比较与修改记录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只因相关证据或约束变化重开 不因价格本身确认逻辑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结算与退出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预测结算 过程复盘 覆盖退出或重入条件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保留失败与旧版本 区分过程错误和随机结果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一条基本原则是让结论受证据约束。没有可靠价格仍可完成企业经营分析；税基未知仍可展示每单位暴露的情景；缺少资金约束则暂不形成个性化仓位建议。</w:t>
      </w:r>
    </w:p>
    <w:p>
      <w:pPr>
        <w:pStyle w:val="Heading1"/>
      </w:pPr>
      <w:r>
        <w:t>四 研究问题和竞争解释的写法</w:t>
      </w:r>
    </w:p>
    <w:p>
      <w:r>
        <w:t>首次覆盖先研究商业模式、行业结构、正常化盈利、资本投入、治理及融资韧性，再明确值得长期跟踪的核心判断。事件更新只重开受影响的判断，避免每次重复生成整份公司介绍。</w:t>
      </w:r>
    </w:p>
    <w:p>
      <w:r>
        <w:t>研究问题必须包含对象、期间、比较基准及决定用途。例如，研究未来两年利润率能否改善，需要明确改善相对哪一期、来自何种经营机制，以及它会改变预测还是进入价格。笼统的公司是否有前景不足以指导取数。</w:t>
      </w:r>
    </w:p>
    <w:p>
      <w:r>
        <w:t>每个重要主假设应有合理的替代解释。收入增长可能来自销量、提价、结构、并购、汇率或确认时点。现金流转弱可能来自坏账、库存积累、供应商账期调整或预付款。列出假设后，分别说明它们预期哪些数据变化，优先寻找有区分力的观察。</w:t>
      </w:r>
    </w:p>
    <w:p>
      <w:r>
        <w:t>因果判断按经济机制、时间顺序、暴露规模、传导时滞、抵消因素、同业或客户证据及替代解释逐项检验。股价与新闻同日变化只支持时间关联。对缺少反事实或识别条件的关系，使用有支持的解释或待验证机制，不能包装成已经识别的因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728"/>
        <w:gridCol w:w="3671"/>
        <w:gridCol w:w="4536"/>
      </w:tblGrid>
      <w:tr>
        <w:trPr>
          <w:tblHeader/>
          <w:cantSplit/>
        </w:trPr>
        <w:tc>
          <w:tcPr>
            <w:tcW w:type="dxa" w:w="1728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问题</w:t>
            </w:r>
          </w:p>
        </w:tc>
        <w:tc>
          <w:tcPr>
            <w:tcW w:type="dxa" w:w="3672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区分解释所需证据</w:t>
            </w:r>
          </w:p>
        </w:tc>
        <w:tc>
          <w:tcPr>
            <w:tcW w:type="dxa" w:w="453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可能改变的决定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需求真实增长还是渠道补库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终端销售 渠道库存 客户订单 退货与回款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收入持续性和库存风险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利润改善来自经营还是会计与一次性项目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分部利润 税率 投资收益 调整勾稽 费用资本化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正常化盈利和估值基数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投入是有回报的增长还是竞争性维持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增量收入 毛利 资产利用率 替换周期 现金承诺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再投资回报和自由现金流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便宜反映错误定价还是价值受损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正常化盈利 资产可实现性 债务索偿 稀释及风险情景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是否继续研究和可接受买入条件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t>五 信息源计划和读取规程</w:t>
      </w:r>
    </w:p>
    <w:p>
      <w:r>
        <w:t>不从无限新闻流开始。先给每个决定性判断列出需要的字段、有效证据及主来源，再读取最小足够资料包。首次覆盖通常包括多年定期报告、最近一期结果及附注、分部与经营指标、资本和债务、治理与资本配置、同业和行业资料；具体跨度依周期和披露条件确定。</w:t>
      </w:r>
    </w:p>
    <w:p>
      <w:r>
        <w:t>数据源分工采用原始披露确立报告事实、行业与关系方验证经营解释、授权数据库进行标准化及预期比较、研究和媒体提出线索的方式。主来源由字段决定。监管原文解释政策，企业披露提供暴露，行业资料不能替代企业合同。</w:t>
      </w:r>
      <w:hyperlink r:id="rId11">
        <w:r>
          <w:rPr>
            <w:color w:val="244A64"/>
            <w:rFonts w:ascii="Hiragino Sans GB" w:hAnsi="Hiragino Sans GB" w:eastAsia="Hiragino Sans GB" w:cs="Hiragino Sans GB"/>
          </w:rPr>
          <w:t>[S9]</w:t>
        </w:r>
      </w:hyperlink>
      <w:r/>
      <w:hyperlink r:id="rId12">
        <w:r>
          <w:rPr>
            <w:color w:val="244A64"/>
            <w:rFonts w:ascii="Hiragino Sans GB" w:hAnsi="Hiragino Sans GB" w:eastAsia="Hiragino Sans GB" w:cs="Hiragino Sans GB"/>
          </w:rPr>
          <w:t>[S14]</w:t>
        </w:r>
      </w:hyperlink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728"/>
        <w:gridCol w:w="3671"/>
        <w:gridCol w:w="4536"/>
      </w:tblGrid>
      <w:tr>
        <w:trPr>
          <w:tblHeader/>
          <w:cantSplit/>
        </w:trPr>
        <w:tc>
          <w:tcPr>
            <w:tcW w:type="dxa" w:w="1728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资料</w:t>
            </w:r>
          </w:p>
        </w:tc>
        <w:tc>
          <w:tcPr>
            <w:tcW w:type="dxa" w:w="3672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优先路径</w:t>
            </w:r>
          </w:p>
        </w:tc>
        <w:tc>
          <w:tcPr>
            <w:tcW w:type="dxa" w:w="453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读取与验证要求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财务与重大事项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公司IR SEC 交易所 巨潮原始文件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API或HTML先取 复杂表格读PDF 必要时回看页图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经营与管理层解释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原始公告 电话会 说明会及正式纪要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保留问题和上下文 将解释与已报结果分开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行业与竞争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原始统计 监管 行业机构 同业及客户披露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检查样本 范围 方法 修订 产业链位置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价格与证券主数据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授权行情与公司行动资料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证券和币种准确 区分收盘 盘后 复权和交易日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一致预期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有权限的供应商及历史快照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统一年度 指标和调整口径 保存样本与快照时间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替代资料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有授权的流量 招聘 消费 地理等数据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核对覆盖偏差 与目标指标关系及数据稳定性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每条资料经历找到入口、实际读到、字段提取、口径核验、持续更新验证和使用权限确认六项检查。它们分别记录，不因为某次网页能打开就全部通过。读取失败时尝试合法的备用原始来源，并说明本次使用的路径；持续更新仍未验证时保留该状态。</w:t>
      </w:r>
    </w:p>
    <w:p>
      <w:r>
        <w:t>本项目现有可用路径包括已实测的SEC部分JSON与美股行情，以及可读取的港股和A股原始文件。付费共识、全市场稳定接口、替代数据及再分发权限不能因被列入计划而视为已经接通。</w:t>
      </w:r>
    </w:p>
    <w:p>
      <w:pPr>
        <w:pStyle w:val="Heading1"/>
      </w:pPr>
      <w:r>
        <w:t>六 证据质量和独立性</w:t>
      </w:r>
    </w:p>
    <w:p>
      <w:r>
        <w:t>每项重要结论连接到证据，并记录上游出处、测量方法、发布时间、期间、实体、合并范围、币种、单位、定义、版本和原文位置。确定性计算保留公式与输入版本。对无法观测的变量保留未知，不按零处理。</w:t>
      </w:r>
    </w:p>
    <w:p>
      <w:r>
        <w:t>多家网站转载同一公告不算多份独立证据；同一报告在A/H两地出现也不构成独立验证。独立性来自不同的观测路径、测量方法或利益主体，还要检查它们是否共享上游数据。审计财务数不需要机械地要求两个独立数据商重复，但关于需求原因或技术优势的解释需要更广泛检验。</w:t>
      </w:r>
    </w:p>
    <w:p>
      <w:r>
        <w:t>来源质量取决于它能支持什么陈述。企业披露对已报告数字和政策有直接地位，对未来订单质量或产品优势仍可能存在激励偏差。对管理层、分析师、渠道、专家以及研究者自身，记录可能影响判断的利益和激励。</w:t>
      </w:r>
      <w:hyperlink r:id="rId13">
        <w:r>
          <w:rPr>
            <w:color w:val="244A64"/>
            <w:rFonts w:ascii="Hiragino Sans GB" w:hAnsi="Hiragino Sans GB" w:eastAsia="Hiragino Sans GB" w:cs="Hiragino Sans GB"/>
          </w:rPr>
          <w:t>[S3]</w:t>
        </w:r>
      </w:hyperlink>
      <w:r/>
      <w:hyperlink r:id="rId11">
        <w:r>
          <w:rPr>
            <w:color w:val="244A64"/>
            <w:rFonts w:ascii="Hiragino Sans GB" w:hAnsi="Hiragino Sans GB" w:eastAsia="Hiragino Sans GB" w:cs="Hiragino Sans GB"/>
          </w:rPr>
          <w:t>[S9]</w:t>
        </w:r>
      </w:hyperlink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728"/>
        <w:gridCol w:w="3671"/>
        <w:gridCol w:w="4536"/>
      </w:tblGrid>
      <w:tr>
        <w:trPr>
          <w:tblHeader/>
          <w:cantSplit/>
        </w:trPr>
        <w:tc>
          <w:tcPr>
            <w:tcW w:type="dxa" w:w="1728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异常</w:t>
            </w:r>
          </w:p>
        </w:tc>
        <w:tc>
          <w:tcPr>
            <w:tcW w:type="dxa" w:w="3672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检查方法</w:t>
            </w:r>
          </w:p>
        </w:tc>
        <w:tc>
          <w:tcPr>
            <w:tcW w:type="dxa" w:w="453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处理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来源数值不同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核对期间 单位 合并范围 修订及调整定义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保留两版 选值有理由 不直接平均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叙述与算术不同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重算同比 环比和勾稽 回看原页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暂停自动采纳 将摘要错误与原文错误区分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累计掩盖单季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用同口径未舍入原数相减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派生值带计算标识 不混母公司与合并数据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关键字段缺失或过期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检查发布时间 正常更新周期及获取状态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降低相应结论准备程度 设置补证动作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解释相互冲突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在共同事实下列出机制和区分证据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保留分歧 触发补证或人工复核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t>七 补证优先级和停止研究的条件</w:t>
      </w:r>
    </w:p>
    <w:p>
      <w:r>
        <w:t>新增资料的优先级由它能否改变决定来确定。对每个缺口说明：可能改变什么动作；该变量的合理范围能否翻转动作或影响风险约束；什么证据能区分；是否能在决定期限前以合理成本取得。信息价值同时取决于结果可能性和后果，不能用下载数量表示。</w:t>
      </w:r>
      <w:hyperlink r:id="rId14">
        <w:r>
          <w:rPr>
            <w:color w:val="244A64"/>
            <w:rFonts w:ascii="Hiragino Sans GB" w:hAnsi="Hiragino Sans GB" w:eastAsia="Hiragino Sans GB" w:cs="Hiragino Sans GB"/>
          </w:rPr>
          <w:t>[S11]</w:t>
        </w:r>
      </w:hyperlink>
      <w:r/>
    </w:p>
    <w:p>
      <w:r>
        <w:t>当缺少税基、成本转嫁或客户集中度等关键输入时，先做范围分析。如果在可信范围内结论会从正面翻为负面，应优先补证；若关键数据不可得，就保留条件结论或暂缓。若所有可信范围都支持同一动作，可以带着已披露的不确定性结束本轮，并设重开条件。</w:t>
      </w:r>
    </w:p>
    <w:p>
      <w:r>
        <w:t>资料之间高度相关时不能增加信心。一个关键现金履约缺口，不能被许多非关键正面指标平均掉。相反，存在多条独立且完整的证据路径时，可以说明结论在某一输入缺失时仍成立，而不能把所有缺失都等同于研究失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728"/>
        <w:gridCol w:w="3671"/>
        <w:gridCol w:w="4536"/>
      </w:tblGrid>
      <w:tr>
        <w:trPr>
          <w:tblHeader/>
          <w:cantSplit/>
        </w:trPr>
        <w:tc>
          <w:tcPr>
            <w:tcW w:type="dxa" w:w="1728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状态</w:t>
            </w:r>
          </w:p>
        </w:tc>
        <w:tc>
          <w:tcPr>
            <w:tcW w:type="dxa" w:w="3672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下一步</w:t>
            </w:r>
          </w:p>
        </w:tc>
        <w:tc>
          <w:tcPr>
            <w:tcW w:type="dxa" w:w="453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交付状态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会改变决定且证据可取得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优先查询原始记录 同业 关系方或授权数据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补证中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关键变量不可得且足以翻转决定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限定范围 等待指定披露或专业复核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尚不能判断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主要增加重复资料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停止重复搜索 保留来源依赖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本轮研究结束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可信范围内动作不变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记录稳健区间和剩余未知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可形成有条件结论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理解缺口无法解决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放弃或退出覆盖 设重入条件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超出能力边界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期限或预算到达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交付当前结论 缺口及影响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不得因此自动升级为可投资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t>八 商业判断和模型分析</w:t>
      </w:r>
    </w:p>
    <w:p>
      <w:r>
        <w:t>商业判断先回答客户为什么购买、公司靠什么收费、利润由谁承担和分享、竞争者能否复制、增长需要投入什么资本，以及低谷时能否生存。护城河必须连接到定价、留存、成本或资本回报的可观察结果，并检查是否衰减。</w:t>
      </w:r>
    </w:p>
    <w:p>
      <w:r>
        <w:t>预测由经营驱动产生，并勾稽收入、利润、现金、资产负债和股本。区分销量、价格和结构，区分投资、费用、资本化和折旧，区分受限现金、名义融资与可按时到账的资金。维持性投入难以准确拆分时给出范围，不能直接把折旧或EBITDA当作所有者收益。</w:t>
      </w:r>
      <w:hyperlink r:id="rId15">
        <w:r>
          <w:rPr>
            <w:color w:val="244A64"/>
            <w:rFonts w:ascii="Hiragino Sans GB" w:hAnsi="Hiragino Sans GB" w:eastAsia="Hiragino Sans GB" w:cs="Hiragino Sans GB"/>
          </w:rPr>
          <w:t>[S2]</w:t>
        </w:r>
      </w:hyperlink>
      <w:r/>
    </w:p>
    <w:p>
      <w:r>
        <w:t>行业模板按经济机制选择。银行以净利息收入、信用成本、资本、普通股回报和分配为核心；平台与软件需要留存、变现、单位经济和投入回报；制造业需要量价、产能、库存、营运资金和资本开支。新业务和研究驱动行业需额外的技术或专业证据，不能为了模板齐全生成未经验证的数值。</w:t>
      </w:r>
    </w:p>
    <w:p>
      <w:r>
        <w:t>估值至少用适当的主要方法并做独立合理性检查。两种估值方法使用相同假设时不算独立证据。反向估值展示当前价格在给定模型下要求的增长、利润率和回报，不把反推结果声称为所有投资者的真实想法。</w:t>
      </w:r>
    </w:p>
    <w:p>
      <w:r>
        <w:t>分别保存已报实际、公司指引、市场共识、自有预测和股价隐含条件。缺少可靠共识时仍可研究商业价值，但不能声称超预期。历史一致预期需要当时可用版本，今天的最新数据库不能自动用于过去。</w:t>
      </w:r>
      <w:hyperlink r:id="rId16">
        <w:r>
          <w:rPr>
            <w:color w:val="244A64"/>
            <w:rFonts w:ascii="Hiragino Sans GB" w:hAnsi="Hiragino Sans GB" w:eastAsia="Hiragino Sans GB" w:cs="Hiragino Sans GB"/>
          </w:rPr>
          <w:t>[S15]</w:t>
        </w:r>
      </w:hyperlink>
      <w:r/>
    </w:p>
    <w:p>
      <w:pPr>
        <w:pStyle w:val="Heading1"/>
      </w:pPr>
      <w:r>
        <w:t>九 投资思想如何进入研究制度</w:t>
      </w:r>
    </w:p>
    <w:p>
      <w:r>
        <w:t>本项目采用可核查的原始材料建立方法库。大师思想用来约束问题和研究纪律；不能替他们生成对今天公司的实际判断，也不能把几个流派的赞成票相加成可信度。以下规则是本项目的制度化翻译。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728"/>
        <w:gridCol w:w="3671"/>
        <w:gridCol w:w="4536"/>
      </w:tblGrid>
      <w:tr>
        <w:trPr>
          <w:tblHeader/>
          <w:cantSplit/>
        </w:trPr>
        <w:tc>
          <w:tcPr>
            <w:tcW w:type="dxa" w:w="1728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思想与原始材料</w:t>
            </w:r>
          </w:p>
        </w:tc>
        <w:tc>
          <w:tcPr>
            <w:tcW w:type="dxa" w:w="3672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转成的研究要求</w:t>
            </w:r>
          </w:p>
        </w:tc>
        <w:tc>
          <w:tcPr>
            <w:tcW w:type="dxa" w:w="453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适用边界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 xml:space="preserve">巴菲特 能力圈与价格 </w:t>
            </w:r>
            <w:hyperlink r:id="rId17">
              <w:r>
                <w:rPr>
                  <w:color w:val="244A64"/>
                  <w:rFonts w:ascii="Hiragino Sans GB" w:hAnsi="Hiragino Sans GB" w:eastAsia="Hiragino Sans GB" w:cs="Hiragino Sans GB"/>
                </w:rPr>
                <w:t>[S1]</w:t>
              </w:r>
            </w:hyperlink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解释业务和关键未知 检查买价要求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熟悉产品不等于理解经营 优质不能覆盖任意价格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 xml:space="preserve">巴菲特 所有者收益 </w:t>
            </w:r>
            <w:hyperlink r:id="rId15">
              <w:r>
                <w:rPr>
                  <w:color w:val="244A64"/>
                  <w:rFonts w:ascii="Hiragino Sans GB" w:hAnsi="Hiragino Sans GB" w:eastAsia="Hiragino Sans GB" w:cs="Hiragino Sans GB"/>
                </w:rPr>
                <w:t>[S2]</w:t>
              </w:r>
            </w:hyperlink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核验维持投入 营运资金和可分配现金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估计本身可能困难 金融企业使用资本约束模型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 xml:space="preserve">芒格 多模型 激励与逆向思考 </w:t>
            </w:r>
            <w:hyperlink r:id="rId13">
              <w:r>
                <w:rPr>
                  <w:color w:val="244A64"/>
                  <w:rFonts w:ascii="Hiragino Sans GB" w:hAnsi="Hiragino Sans GB" w:eastAsia="Hiragino Sans GB" w:cs="Hiragino Sans GB"/>
                </w:rPr>
                <w:t>[S3]</w:t>
              </w:r>
            </w:hyperlink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</w:r>
            <w:hyperlink r:id="rId18">
              <w:r>
                <w:rPr>
                  <w:color w:val="244A64"/>
                  <w:rFonts w:ascii="Hiragino Sans GB" w:hAnsi="Hiragino Sans GB" w:eastAsia="Hiragino Sans GB" w:cs="Hiragino Sans GB"/>
                </w:rPr>
                <w:t>[S4]</w:t>
              </w:r>
            </w:hyperlink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检查激励 失败机制 替代解释和机会成本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自己的能力边界不等于所有人的行业禁区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 xml:space="preserve">格雷厄姆 低估与分散策略 </w:t>
            </w:r>
            <w:hyperlink r:id="rId19">
              <w:r>
                <w:rPr>
                  <w:color w:val="244A64"/>
                  <w:rFonts w:ascii="Hiragino Sans GB" w:hAnsi="Hiragino Sans GB" w:eastAsia="Hiragino Sans GB" w:cs="Hiragino Sans GB"/>
                </w:rPr>
                <w:t>[S5]</w:t>
              </w:r>
            </w:hyperlink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单独规定资产或正常化盈利依据及组合规则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晚期组合法有特定背景 历史PE与收益率参数不能直接硬编码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 xml:space="preserve">彼得林奇 理解业务与生存能力 </w:t>
            </w:r>
            <w:hyperlink r:id="rId20">
              <w:r>
                <w:rPr>
                  <w:color w:val="244A64"/>
                  <w:rFonts w:ascii="Hiragino Sans GB" w:hAnsi="Hiragino Sans GB" w:eastAsia="Hiragino Sans GB" w:cs="Hiragino Sans GB"/>
                </w:rPr>
                <w:t>[S6]</w:t>
              </w:r>
            </w:hyperlink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消费线索继续调查 扩张阶段和资金期限必须匹配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日常体验不能代替财务与渠道调查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 xml:space="preserve">霍华德马克斯 风险与预期 </w:t>
            </w:r>
            <w:hyperlink r:id="rId21">
              <w:r>
                <w:rPr>
                  <w:color w:val="244A64"/>
                  <w:rFonts w:ascii="Hiragino Sans GB" w:hAnsi="Hiragino Sans GB" w:eastAsia="Hiragino Sans GB" w:cs="Hiragino Sans GB"/>
                </w:rPr>
                <w:t>[S7]</w:t>
              </w:r>
            </w:hyperlink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</w:r>
            <w:hyperlink r:id="rId22">
              <w:r>
                <w:rPr>
                  <w:color w:val="244A64"/>
                  <w:rFonts w:ascii="Hiragino Sans GB" w:hAnsi="Hiragino Sans GB" w:eastAsia="Hiragino Sans GB" w:cs="Hiragino Sans GB"/>
                </w:rPr>
                <w:t>[S8]</w:t>
              </w:r>
            </w:hyperlink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研究永久损失 被迫出售 价格包含什么及自身差异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逆向本身不证明正确 波动仍可能造成真实持有风险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系统首先指定主要策略和收益来源，例如长期经营复利、周期正常化、资产折价或特定事件。不同策略要求不同证据和退出条件。不能以低估值买入，再在经营恶化时悄悄改用长期成长理由；策略改变须新建论点并记录旧论点如何失效。</w:t>
      </w:r>
    </w:p>
    <w:p>
      <w:r>
        <w:t>本平台的默认研究取向是理解经营、资本回报和损失机制，再研究价格与预期；芒格式反向审查用于检查判断偏差。组合法、成长策略或事件策略可以作为分支，不能把所有思想压进一个统一总分。</w:t>
      </w:r>
    </w:p>
    <w:p>
      <w:pPr>
        <w:pStyle w:val="Heading1"/>
      </w:pPr>
      <w:r>
        <w:t>十 交叉验证和反方审查</w:t>
      </w:r>
    </w:p>
    <w:p>
      <w:r>
        <w:t>交叉验证必须有不同的信息或检验方式。需要分别完成事实核验、经营机制验证、模型合理性检查、反方审查和事后预测验证。几个模型读取同一份材料并得出相近文字，不足以构成独立验证。</w:t>
      </w:r>
    </w:p>
    <w:p>
      <w:r>
        <w:t>反方审查先完整说明最强相反解释和支持证据，再指出它成立时如何损失，以及哪一项观察会使主判断撤回。审查必须能够改变结论。个人模式可将初稿和反方审查作为分开的步骤，但不能因此宣称具有真正独立团队的专业复核。</w:t>
      </w:r>
    </w:p>
    <w:p>
      <w:r>
        <w:t>对已有研报，比较其业务驱动、预测、估值与风险，把差异追到输入、机制或策略。机构声望和目标价数量不能替代证据。若合理模型之间的分歧足以改变决定，报告分歧并补证；只有事前规定且通过样本外验证的组合方法，才可合并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728"/>
        <w:gridCol w:w="3671"/>
        <w:gridCol w:w="4536"/>
      </w:tblGrid>
      <w:tr>
        <w:trPr>
          <w:tblHeader/>
          <w:cantSplit/>
        </w:trPr>
        <w:tc>
          <w:tcPr>
            <w:tcW w:type="dxa" w:w="1728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检验</w:t>
            </w:r>
          </w:p>
        </w:tc>
        <w:tc>
          <w:tcPr>
            <w:tcW w:type="dxa" w:w="3672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比较什么</w:t>
            </w:r>
          </w:p>
        </w:tc>
        <w:tc>
          <w:tcPr>
            <w:tcW w:type="dxa" w:w="453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失败后的处理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原始证据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原文与提取 数值与算术 版本与期间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修正数据 撤回受影响结论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外部经营证据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客户 同业 行业或不同测量方法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重估原因和持续性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财务与估值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利润现金桥 历史分布 可比及反向条件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检查资本投入和隐含假设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思想与反证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能力圈 激励 失败链 机会成本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补证 改变策略或停止判断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前瞻结果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事前登记预测与到期结果 相同基准率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校准或停用该类预测能力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t>十一 结论方向和可信度的表达</w:t>
      </w:r>
    </w:p>
    <w:p>
      <w:r>
        <w:t>正面与负面必须说明相对什么、影响什么、持续多久。事件可能改善收入却压低现金流；公司经营改善也可能已被更高价格反映。结论分别表达商业质量、经营变化、估值回报及账户行动，允许混合、无明显影响或无法判断。</w:t>
      </w:r>
    </w:p>
    <w:p>
      <w:r>
        <w:t>可信度也分开表达。事实质量描述证据是否适用并已核验；解释信心描述机制与替代解释；预测不确定性描述未来结果范围；估值稳健性描述结论对关键假设的敏感程度。投资适宜性另按账户约束判断。不能把这些量折成一个总置信分。科学评估对证据信心与事件发生可能性也作明确区分，此处借鉴区分方式，不移植任何领域的数字等级。</w:t>
      </w:r>
      <w:hyperlink r:id="rId23">
        <w:r>
          <w:rPr>
            <w:color w:val="244A64"/>
            <w:rFonts w:ascii="Hiragino Sans GB" w:hAnsi="Hiragino Sans GB" w:eastAsia="Hiragino Sans GB" w:cs="Hiragino Sans GB"/>
          </w:rPr>
          <w:t>[S13]</w:t>
        </w:r>
      </w:hyperlink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728"/>
        <w:gridCol w:w="3671"/>
        <w:gridCol w:w="4536"/>
      </w:tblGrid>
      <w:tr>
        <w:trPr>
          <w:tblHeader/>
          <w:cantSplit/>
        </w:trPr>
        <w:tc>
          <w:tcPr>
            <w:tcW w:type="dxa" w:w="1728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维度</w:t>
            </w:r>
          </w:p>
        </w:tc>
        <w:tc>
          <w:tcPr>
            <w:tcW w:type="dxa" w:w="3672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可用表达</w:t>
            </w:r>
          </w:p>
        </w:tc>
        <w:tc>
          <w:tcPr>
            <w:tcW w:type="dxa" w:w="453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必须附带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事实质量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已核验 有限核验 冲突 未核验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来源 适用口径 完整性 新鲜度与异常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解释信心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较强 中等 较弱 尚不能解释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机制证据 最强反方 关键假设与缺口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未来预测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情景范围 或明确定义事件的概率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期限 结算规则 主观或校准状态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估值稳健性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跨可信假设较稳定 或高度敏感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决定是否翻转的变量与边界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决策准备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可供审议 有条件 暂缓或退出覆盖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尚缺条件 可行动作与复核日期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解释信心等级由文字标准和证据理由约束。较强表示关键机制有直接或相互独立的支持、主要替代解释已实质检验，且决定不依赖一个未证实假设。中等表示机制有支持但持续性或规模尚待核实。较弱表示关键暴露、机制或替代解释仍未解决。这些是分析员判断等级，不能解读为统计概率。</w:t>
      </w:r>
    </w:p>
    <w:p>
      <w:r>
        <w:t>如果用户需要数值可信度，系统先明确究竟在预测什么。对尚未经过校准的观点，只能标注主观概率或场景区间；不生成貌似精确的成功率。情景估值区间也不能冒充统计置信区间。</w:t>
      </w:r>
    </w:p>
    <w:p>
      <w:pPr>
        <w:pStyle w:val="Heading1"/>
      </w:pPr>
      <w:r>
        <w:t>十二 概率预测和校准</w:t>
      </w:r>
    </w:p>
    <w:p>
      <w:r>
        <w:t>概率只附在可以结算的事件上。预测创建时固定对象、阈值口径、期限及时区、结算来源、首次登记时间、信息截止点、模型版本、更新原因，以及延期或无法结算的处理。没有合理参考类时展示情景，不强行给概率。</w:t>
      </w:r>
    </w:p>
    <w:p>
      <w:r>
        <w:t>已结算二元事件可采用Brier损失，即对每条预测的概率与实际0或1结果之差求平方，再取平均。还应查看同类概率分组的实际发生频率、样本数和不确定范围，与相同事件、期限和样本上的基准率预测比较。评分规则与校准需要共同评价。</w:t>
      </w:r>
      <w:hyperlink r:id="rId24">
        <w:r>
          <w:rPr>
            <w:color w:val="244A64"/>
            <w:rFonts w:ascii="Hiragino Sans GB" w:hAnsi="Hiragino Sans GB" w:eastAsia="Hiragino Sans GB" w:cs="Hiragino Sans GB"/>
          </w:rPr>
          <w:t>[S10]</w:t>
        </w:r>
      </w:hyperlink>
      <w:r/>
    </w:p>
    <w:p>
      <w:r>
        <w:t>同一事件每日更新不能算成许多个独立成功样本。评分方案要事前规定初始预测和各期限更新的评价方式；保留未结算、弃权和排除原因，并显示覆盖率。分行业、地区、期限和事件类型评估，防止总体结果掩盖失效类别。</w:t>
      </w:r>
    </w:p>
    <w:p>
      <w:r>
        <w:t>预测准确与投资获利分别检验。一个明确的假设例子是：成功概率80%，成功收益2%，失败损失20%，则未计成本的期望收益为负2.4%。即使概率可信，仍不能据此推出值得买入。</w:t>
      </w:r>
    </w:p>
    <w:p>
      <w:r>
        <w:t>只有积累足够同类、独立、可结算的前瞻记录，才展示经验校准结果；样本不足时明确标记未校准。样本量是否足够取决于事件频率、相关性和要估计的精度，不预设一个保证可靠的统一数量。</w:t>
      </w:r>
    </w:p>
    <w:p>
      <w:pPr>
        <w:pStyle w:val="Heading1"/>
      </w:pPr>
      <w:r>
        <w:t>十三 风险和历史经验的使用</w:t>
      </w:r>
    </w:p>
    <w:p>
      <w:r>
        <w:t>风险审查先解释永久损失、现金履约、融资中断、稀释、治理、估值与被迫出售如何发生。公司能够长期经营，不等于账户能承受中途损失；名义融资额度不等于需要时能到账的现金。波动指标可辅助识别风险，但不能穷尽损失机制。</w:t>
      </w:r>
      <w:hyperlink r:id="rId20">
        <w:r>
          <w:rPr>
            <w:color w:val="244A64"/>
            <w:rFonts w:ascii="Hiragino Sans GB" w:hAnsi="Hiragino Sans GB" w:eastAsia="Hiragino Sans GB" w:cs="Hiragino Sans GB"/>
          </w:rPr>
          <w:t>[S6]</w:t>
        </w:r>
      </w:hyperlink>
      <w:r/>
      <w:hyperlink r:id="rId21">
        <w:r>
          <w:rPr>
            <w:color w:val="244A64"/>
            <w:rFonts w:ascii="Hiragino Sans GB" w:hAnsi="Hiragino Sans GB" w:eastAsia="Hiragino Sans GB" w:cs="Hiragino Sans GB"/>
          </w:rPr>
          <w:t>[S7]</w:t>
        </w:r>
      </w:hyperlink>
      <w:r/>
    </w:p>
    <w:p>
      <w:r>
        <w:t>每个重点公司至少考虑联合不利情景：经营转弱与估值压缩、现金消耗与融资收紧，或监管变化与供应链中断。逆向压力测试寻找使公司或账户无法承受的条件。模型结果必须显示假设，不能称为最大损失上限。</w:t>
      </w:r>
    </w:p>
    <w:p>
      <w:r>
        <w:t>历史库按脆弱性、触发、传导、可观测警讯、当时不可知信息及处置能力记录。保留失败和退市主体，使用历史股票池与当时公开版本；选择偏差和缺失末期数据会扭曲验证。</w:t>
      </w:r>
      <w:hyperlink r:id="rId25">
        <w:r>
          <w:rPr>
            <w:color w:val="244A64"/>
            <w:rFonts w:ascii="Hiragino Sans GB" w:hAnsi="Hiragino Sans GB" w:eastAsia="Hiragino Sans GB" w:cs="Hiragino Sans GB"/>
          </w:rPr>
          <w:t>[S12]</w:t>
        </w:r>
      </w:hyperlink>
      <w:r/>
    </w:p>
    <w:p>
      <w:r>
        <w:t>严格区分案例解释、规则回放和预测验证。大模型可能在训练中知道历史结局，即便检索资料设了截止日期，也不能保证没有后见影响。因此历史回放主要检查流程和可复算规则，真正前瞻登记并到期结算的记录承担预测能力验证。</w:t>
      </w:r>
    </w:p>
    <w:p>
      <w:r>
        <w:t>大师的成功案例也存在选择和时代背景。研究库需要失败及反例，检查策略适用条件是否变化；过去有效的倍数、集中度或持有期限不自动成为今天的规则。</w:t>
      </w:r>
    </w:p>
    <w:p>
      <w:pPr>
        <w:pStyle w:val="Heading1"/>
      </w:pPr>
      <w:r>
        <w:t>十四 监测和修改结论</w:t>
      </w:r>
    </w:p>
    <w:p>
      <w:r>
        <w:t>日常监测围绕已有研究判断进行。为每条判断设置关键指标、正常更新频率、支持与反证条件、下一验证、数据过期处理和研究动作。新的重要事实只重开受影响的预测、估值和风险环节，保留旧版本及改变原因。</w:t>
      </w:r>
    </w:p>
    <w:p>
      <w:r>
        <w:t>提醒按潜在决定影响、紧迫性、证据质量与既有暴露排序。事实确定性和影响确定性分别标注。旧消息、转载和已解释的差异不重复推送；小额修订留痕，达到实质影响或存在严重质量问题时升级。具体数值阈值应来自公司指引、历史分布、研究假设或用户风险约束，并记录来源和验证状态。</w:t>
      </w:r>
    </w:p>
    <w:p>
      <w:r>
        <w:t>价格变化触发重新检查市场与经营证据，不单独证明原判断正确或错误。没有新证据并且风险约束未变时，可以保持判断。无关新闻不会自动重写长期研究。</w:t>
      </w:r>
    </w:p>
    <w:p>
      <w:r>
        <w:t>用户可修改假设、撤回结论、退出覆盖或采用不同策略，系统保存理由与影响。不允许删除失败预测以改善成绩，也不允许事后把原来的成长论点改写成资产价值论点。</w:t>
      </w:r>
    </w:p>
    <w:p>
      <w:pPr>
        <w:pStyle w:val="Heading1"/>
      </w:pPr>
      <w:r>
        <w:t>十五 第一版能力和职责</w:t>
      </w:r>
    </w:p>
    <w:p>
      <w:r>
        <w:t>第一版围绕完整研究流程建设。AI可以定位和整理资料、提出竞争解释、生成补证计划及反方检查；确定性财务运算使用可检查的计算关系；重要事实冲突、关键机制选择和账户动作保留人工复核。来源文字只是资料，不能成为改变系统规则的指令。</w:t>
      </w:r>
    </w:p>
    <w:p>
      <w:r>
        <w:t>个人模式的角色是职责区分，而非要求用户组建团队。数据核验、模型计算、反方审查、结论发布和规则修改分别留痕。人工录入同样遵守来源、期间和版本要求；更新失败时在工作台直接呈现。NIST对有效性、解释性及持续评估的区分，可以作为AI能力管理的参考，不把解释清楚等同于判断准确。</w:t>
      </w:r>
      <w:hyperlink r:id="rId26">
        <w:r>
          <w:rPr>
            <w:color w:val="244A64"/>
            <w:rFonts w:ascii="Hiragino Sans GB" w:hAnsi="Hiragino Sans GB" w:eastAsia="Hiragino Sans GB" w:cs="Hiragino Sans GB"/>
          </w:rPr>
          <w:t>[S16]</w:t>
        </w:r>
      </w:hyperlink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728"/>
        <w:gridCol w:w="3671"/>
        <w:gridCol w:w="4536"/>
      </w:tblGrid>
      <w:tr>
        <w:trPr>
          <w:tblHeader/>
          <w:cantSplit/>
        </w:trPr>
        <w:tc>
          <w:tcPr>
            <w:tcW w:type="dxa" w:w="1728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第一版能力</w:t>
            </w:r>
          </w:p>
        </w:tc>
        <w:tc>
          <w:tcPr>
            <w:tcW w:type="dxa" w:w="3672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最小可用结果</w:t>
            </w:r>
          </w:p>
        </w:tc>
        <w:tc>
          <w:tcPr>
            <w:tcW w:type="dxa" w:w="453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研究立项与假设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问题 期限 策略 主假设和反证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知道需要什么资料及它会改变什么决定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证据与获取计划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原始来源 状态 依赖 版本和缺口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重要陈述可追溯 不把转载算独立证据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企业与行业档案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商业机制 关键指标 财务与风险基线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按行业解释 允许超出能力边界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主动补证与停止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有区分力的下一任务及停止理由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无法取得关键证据时限制结论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模型与情景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利润现金勾稽 敏感性 估值与隐含条件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口径一致 公式可复算 假设显式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交叉验证与反方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替代解释 失败链 分歧及处理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审查能够改变结论 有复核记录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结论与日志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分层方向 信心 预测状态 行动和版本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允许等待 放弃或不判断 不编造总置信分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监测与校准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相关提醒 日历 数据健康和预测结算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旧信息不重复 失败保留 能评价真实前瞻记录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首期以少量覆盖对象验证完整流程。扩大实时行情、全市场覆盖、另类数据或复杂模型之前，先证明现有流程的数据、判断与更新能够复核。付费数据采购由关键证据需求决定，不以供应商数量作为成熟度指标。</w:t>
      </w:r>
    </w:p>
    <w:p>
      <w:pPr>
        <w:pStyle w:val="Heading1"/>
      </w:pPr>
      <w:r>
        <w:t>十六 结论的固定交付格式</w:t>
      </w:r>
    </w:p>
    <w:p>
      <w:r>
        <w:t>每份结论采用以下固定内容。读者无需先阅读全部材料，就能知道它回答什么、依据是什么、哪里不确定、什么会推翻它，以及当前可以做什么。完整证据和模型随后展开。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2520"/>
        <w:gridCol w:w="7416"/>
      </w:tblGrid>
      <w:tr>
        <w:trPr>
          <w:tblHeader/>
          <w:cantSplit/>
        </w:trPr>
        <w:tc>
          <w:tcPr>
            <w:tcW w:type="dxa" w:w="2520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内容</w:t>
            </w:r>
          </w:p>
        </w:tc>
        <w:tc>
          <w:tcPr>
            <w:tcW w:type="dxa" w:w="741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必须写清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对象与用途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公司 行业或证券 决定问题 时间范围 信息截止点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核心结论</w:t>
            </w:r>
          </w:p>
        </w:tc>
        <w:tc>
          <w:tcPr>
            <w:tcW w:type="dxa" w:w="741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商业质量 经营方向 估值吸引力和账户动作分别表达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重要依据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决定性事实及来源 机制与计算 区分管理层说法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相反解释</w:t>
            </w:r>
          </w:p>
        </w:tc>
        <w:tc>
          <w:tcPr>
            <w:tcW w:type="dxa" w:w="741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最强反方证据 主判断为何仍成立或已受损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结果范围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情景及关键假设 概率有无校准 估值敏感点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可信度</w:t>
            </w:r>
          </w:p>
        </w:tc>
        <w:tc>
          <w:tcPr>
            <w:tcW w:type="dxa" w:w="741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事实核验 解释信心 稳健性及各自理由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缺口与限制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关键未知影响哪部分结论 需要补什么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行动与替代</w:t>
            </w:r>
          </w:p>
        </w:tc>
        <w:tc>
          <w:tcPr>
            <w:tcW w:type="dxa" w:w="741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继续研究 等待 放弃 重新研究或有条件投资建议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失效与验证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可观察推翻条件 下一来源 日期或触发事件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版本与责任</w:t>
            </w:r>
          </w:p>
        </w:tc>
        <w:tc>
          <w:tcPr>
            <w:tcW w:type="dxa" w:w="741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本次变化 上次结论 模型与资料版本 人工复核状态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合法结论示例  经营方向偏正面，但增量回报尚未得到证据支持；已披露财务事实核验充分，长期回报解释信心中等，估值对利润率高度敏感；当前决定为等待资本回报证据并补充竞争资料。该表达不需要伪造一个上涨概率，也不会因为暂缓而停止所有有效研究。</w:t>
      </w:r>
    </w:p>
    <w:p>
      <w:pPr>
        <w:pStyle w:val="Heading1"/>
      </w:pPr>
      <w:r>
        <w:t>十七 验收和设计完成的边界</w:t>
      </w:r>
    </w:p>
    <w:p>
      <w:r>
        <w:t>此前六家公司提供了数据和机制方面的测试素材：资本投入与会计分类、一次性收益、累计转单季、现金与盈利分化、多地上市和银行专用口径。它们支持设计这些检查项，不构成完整证券结论或预测能力的证明。</w:t>
      </w:r>
    </w:p>
    <w:p>
      <w:r>
        <w:t>设计、实现和验证分别验收。本版已规定研究状态、来源与补证、竞争解释、模型、思想校验、结论与可信度、风险、生命周期和第一版范围。尚未完成的工作是将规则实现为稳定系统，建立授权数据路径，完成不同类型真实研究的前瞻记录与样本外评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2520"/>
        <w:gridCol w:w="7416"/>
      </w:tblGrid>
      <w:tr>
        <w:trPr>
          <w:tblHeader/>
          <w:cantSplit/>
        </w:trPr>
        <w:tc>
          <w:tcPr>
            <w:tcW w:type="dxa" w:w="2520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验收案例</w:t>
            </w:r>
          </w:p>
        </w:tc>
        <w:tc>
          <w:tcPr>
            <w:tcW w:type="dxa" w:w="7416"/>
            <w:vAlign w:val="center"/>
            <w:shd w:fill="DDE6EC"/>
          </w:tcPr>
          <w:p>
            <w:pPr>
              <w:spacing w:line="269" w:lineRule="auto"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sz w:val="20"/>
              </w:rPr>
              <w:t>预期行为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官方数字可靠但原因未证实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事实质量可高 解释仍待验证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很多文章共用一条消息</w:t>
            </w:r>
          </w:p>
        </w:tc>
        <w:tc>
          <w:tcPr>
            <w:tcW w:type="dxa" w:w="741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保留共同上游 不增加独立证据数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关键变量缺失且会翻转决定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提出补证任务或暂缓 不产生高信心结论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情景变化仍支持同一动作</w:t>
            </w:r>
          </w:p>
        </w:tc>
        <w:tc>
          <w:tcPr>
            <w:tcW w:type="dxa" w:w="741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给出稳健范围 允许停止补证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高成功概率但损失不对称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分别计算回报和风险 不自动建议买入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公司改善但证券过贵</w:t>
            </w:r>
          </w:p>
        </w:tc>
        <w:tc>
          <w:tcPr>
            <w:tcW w:type="dxa" w:w="741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经营与投资吸引力给出不同方向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原文和摘要冲突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回查原页并阻止受影响的自动更新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后续资料推翻旧判断</w:t>
            </w:r>
          </w:p>
        </w:tc>
        <w:tc>
          <w:tcPr>
            <w:tcW w:type="dxa" w:w="741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撤回或重开 保留旧版和原因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失败 退市或未结算预测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保留记录 解释评分和覆盖范围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数据源中断或资料过期</w:t>
            </w:r>
          </w:p>
        </w:tc>
        <w:tc>
          <w:tcPr>
            <w:tcW w:type="dxa" w:w="7416"/>
            <w:vAlign w:val="center"/>
            <w:shd w:fill="F5F7F9"/>
          </w:tcPr>
          <w:p>
            <w:pPr>
              <w:spacing w:line="269" w:lineRule="auto" w:after="0"/>
            </w:pPr>
            <w:r>
              <w:rPr>
                <w:rFonts w:ascii="Hiragino Sans GB" w:hAnsi="Hiragino Sans GB" w:eastAsia="Hiragino Sans GB" w:cs="Hiragino Sans GB"/>
                <w:b w:val="0"/>
                <w:sz w:val="20"/>
              </w:rPr>
              <w:t>显式显示 并限制相关结论的时效性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评价指标分开报告：证据错误和覆盖、重要事件遗漏、补证有效性、解释与模型可复核性、预测校准及覆盖率、决定对约束的遵守，以及真实投资结果和成本。投资结果好坏不能单独证明研究过程正确，过程合规也不能保证投资获利。</w:t>
      </w:r>
    </w:p>
    <w:p>
      <w:pPr>
        <w:pStyle w:val="Heading1"/>
      </w:pPr>
      <w:r>
        <w:t>十八 原始材料和方法来源</w:t>
      </w:r>
    </w:p>
    <w:p>
      <w:r>
        <w:t>以下来源用于核查思想和方法。可执行流程、信心等级、功能划分及验收条目由本项目设计。没有复制机构内部流程，也未据此推测任何作者对当前公司的实际判断。访问与核查日期为2026年10月25日。</w:t>
      </w:r>
    </w:p>
    <w:p>
      <w:pPr>
        <w:spacing w:after="120"/>
      </w:pPr>
      <w:r>
        <w:t xml:space="preserve">S1  </w:t>
      </w:r>
      <w:hyperlink r:id="rId17">
        <w:r>
          <w:rPr>
            <w:color w:val="244A64"/>
            <w:rFonts w:ascii="Hiragino Sans GB" w:hAnsi="Hiragino Sans GB" w:eastAsia="Hiragino Sans GB" w:cs="Hiragino Sans GB"/>
            <w:sz w:val="20"/>
          </w:rPr>
          <w:t>Warren Buffett 1996股东信 能力圈和价格</w:t>
        </w:r>
      </w:hyperlink>
    </w:p>
    <w:p>
      <w:pPr>
        <w:spacing w:after="120"/>
      </w:pPr>
      <w:r>
        <w:t xml:space="preserve">S2  </w:t>
      </w:r>
      <w:hyperlink r:id="rId15">
        <w:r>
          <w:rPr>
            <w:color w:val="244A64"/>
            <w:rFonts w:ascii="Hiragino Sans GB" w:hAnsi="Hiragino Sans GB" w:eastAsia="Hiragino Sans GB" w:cs="Hiragino Sans GB"/>
            <w:sz w:val="20"/>
          </w:rPr>
          <w:t>Warren Buffett 1986股东信及附录 所有者收益</w:t>
        </w:r>
      </w:hyperlink>
    </w:p>
    <w:p>
      <w:pPr>
        <w:spacing w:after="120"/>
      </w:pPr>
      <w:r>
        <w:t xml:space="preserve">S3  </w:t>
      </w:r>
      <w:hyperlink r:id="rId13">
        <w:r>
          <w:rPr>
            <w:color w:val="244A64"/>
            <w:rFonts w:ascii="Hiragino Sans GB" w:hAnsi="Hiragino Sans GB" w:eastAsia="Hiragino Sans GB" w:cs="Hiragino Sans GB"/>
            <w:sz w:val="20"/>
          </w:rPr>
          <w:t>Charles Munger 授权演讲集 多模型 激励与机会成本</w:t>
        </w:r>
      </w:hyperlink>
    </w:p>
    <w:p>
      <w:pPr>
        <w:spacing w:after="120"/>
      </w:pPr>
      <w:r>
        <w:t xml:space="preserve">S4  </w:t>
      </w:r>
      <w:hyperlink r:id="rId18">
        <w:r>
          <w:rPr>
            <w:color w:val="244A64"/>
            <w:rFonts w:ascii="Hiragino Sans GB" w:hAnsi="Hiragino Sans GB" w:eastAsia="Hiragino Sans GB" w:cs="Hiragino Sans GB"/>
            <w:sz w:val="20"/>
          </w:rPr>
          <w:t>Charles Munger Practical Thought about Practical Thought 原演讲章节</w:t>
        </w:r>
      </w:hyperlink>
    </w:p>
    <w:p>
      <w:pPr>
        <w:spacing w:after="120"/>
      </w:pPr>
      <w:r>
        <w:t xml:space="preserve">S5  </w:t>
      </w:r>
      <w:hyperlink r:id="rId19">
        <w:r>
          <w:rPr>
            <w:color w:val="244A64"/>
            <w:rFonts w:ascii="Hiragino Sans GB" w:hAnsi="Hiragino Sans GB" w:eastAsia="Hiragino Sans GB" w:cs="Hiragino Sans GB"/>
            <w:sz w:val="20"/>
          </w:rPr>
          <w:t>CFA Research Foundation 1977文献内1976年Graham访谈 第33至41页</w:t>
        </w:r>
      </w:hyperlink>
    </w:p>
    <w:p>
      <w:pPr>
        <w:spacing w:after="120"/>
      </w:pPr>
      <w:r>
        <w:t xml:space="preserve">S6  </w:t>
      </w:r>
      <w:hyperlink r:id="rId20">
        <w:r>
          <w:rPr>
            <w:color w:val="244A64"/>
            <w:rFonts w:ascii="Hiragino Sans GB" w:hAnsi="Hiragino Sans GB" w:eastAsia="Hiragino Sans GB" w:cs="Hiragino Sans GB"/>
            <w:sz w:val="20"/>
          </w:rPr>
          <w:t>Fidelity Peter Lynch访谈 2022年11月3日</w:t>
        </w:r>
      </w:hyperlink>
    </w:p>
    <w:p>
      <w:pPr>
        <w:spacing w:after="120"/>
      </w:pPr>
      <w:r>
        <w:t xml:space="preserve">S7  </w:t>
      </w:r>
      <w:hyperlink r:id="rId21">
        <w:r>
          <w:rPr>
            <w:color w:val="244A64"/>
            <w:rFonts w:ascii="Hiragino Sans GB" w:hAnsi="Hiragino Sans GB" w:eastAsia="Hiragino Sans GB" w:cs="Hiragino Sans GB"/>
            <w:sz w:val="20"/>
          </w:rPr>
          <w:t>Howard Marks Risk Revisited Again 2015年6月8日</w:t>
        </w:r>
      </w:hyperlink>
    </w:p>
    <w:p>
      <w:pPr>
        <w:spacing w:after="120"/>
      </w:pPr>
      <w:r>
        <w:t xml:space="preserve">S8  </w:t>
      </w:r>
      <w:hyperlink r:id="rId22">
        <w:r>
          <w:rPr>
            <w:color w:val="244A64"/>
            <w:rFonts w:ascii="Hiragino Sans GB" w:hAnsi="Hiragino Sans GB" w:eastAsia="Hiragino Sans GB" w:cs="Hiragino Sans GB"/>
            <w:sz w:val="20"/>
          </w:rPr>
          <w:t>Howard Marks I Beg to Differ 2022年7月26日</w:t>
        </w:r>
      </w:hyperlink>
    </w:p>
    <w:p>
      <w:pPr>
        <w:spacing w:after="120"/>
      </w:pPr>
      <w:r>
        <w:t xml:space="preserve">S9  </w:t>
      </w:r>
      <w:hyperlink r:id="rId11">
        <w:r>
          <w:rPr>
            <w:color w:val="244A64"/>
            <w:rFonts w:ascii="Hiragino Sans GB" w:hAnsi="Hiragino Sans GB" w:eastAsia="Hiragino Sans GB" w:cs="Hiragino Sans GB"/>
            <w:sz w:val="20"/>
          </w:rPr>
          <w:t>CFA Institute Diligence and Reasonable Basis 研究依据及第三方资料核查</w:t>
        </w:r>
      </w:hyperlink>
    </w:p>
    <w:p>
      <w:pPr>
        <w:spacing w:after="120"/>
      </w:pPr>
      <w:r>
        <w:t xml:space="preserve">S10  </w:t>
      </w:r>
      <w:hyperlink r:id="rId24">
        <w:r>
          <w:rPr>
            <w:color w:val="244A64"/>
            <w:rFonts w:ascii="Hiragino Sans GB" w:hAnsi="Hiragino Sans GB" w:eastAsia="Hiragino Sans GB" w:cs="Hiragino Sans GB"/>
            <w:sz w:val="20"/>
          </w:rPr>
          <w:t>Gneiting与Raftery 2007 Strictly Proper Scoring Rules Prediction and Estimation</w:t>
        </w:r>
      </w:hyperlink>
    </w:p>
    <w:p>
      <w:pPr>
        <w:spacing w:after="120"/>
      </w:pPr>
      <w:r>
        <w:t xml:space="preserve">S11  </w:t>
      </w:r>
      <w:hyperlink r:id="rId14">
        <w:r>
          <w:rPr>
            <w:color w:val="244A64"/>
            <w:rFonts w:ascii="Hiragino Sans GB" w:hAnsi="Hiragino Sans GB" w:eastAsia="Hiragino Sans GB" w:cs="Hiragino Sans GB"/>
            <w:sz w:val="20"/>
          </w:rPr>
          <w:t>Ronald Howard 1966 Information Value Theory</w:t>
        </w:r>
      </w:hyperlink>
    </w:p>
    <w:p>
      <w:pPr>
        <w:spacing w:after="120"/>
      </w:pPr>
      <w:r>
        <w:t xml:space="preserve">S12  </w:t>
      </w:r>
      <w:hyperlink r:id="rId25">
        <w:r>
          <w:rPr>
            <w:color w:val="244A64"/>
            <w:rFonts w:ascii="Hiragino Sans GB" w:hAnsi="Hiragino Sans GB" w:eastAsia="Hiragino Sans GB" w:cs="Hiragino Sans GB"/>
            <w:sz w:val="20"/>
          </w:rPr>
          <w:t>Carpenter与Lynch 1998工作论文 幸存者和前视偏差 后发表于1999年JFE</w:t>
        </w:r>
      </w:hyperlink>
    </w:p>
    <w:p>
      <w:pPr>
        <w:spacing w:after="120"/>
      </w:pPr>
      <w:r>
        <w:t xml:space="preserve">S13  </w:t>
      </w:r>
      <w:hyperlink r:id="rId23">
        <w:r>
          <w:rPr>
            <w:color w:val="244A64"/>
            <w:rFonts w:ascii="Hiragino Sans GB" w:hAnsi="Hiragino Sans GB" w:eastAsia="Hiragino Sans GB" w:cs="Hiragino Sans GB"/>
            <w:sz w:val="20"/>
          </w:rPr>
          <w:t>IPCC 2010 Consistent Treatment of Uncertainties 借鉴信心与可能性的区分</w:t>
        </w:r>
      </w:hyperlink>
    </w:p>
    <w:p>
      <w:pPr>
        <w:spacing w:after="120"/>
      </w:pPr>
      <w:r>
        <w:t xml:space="preserve">S14  </w:t>
      </w:r>
      <w:hyperlink r:id="rId12">
        <w:r>
          <w:rPr>
            <w:color w:val="244A64"/>
            <w:rFonts w:ascii="Hiragino Sans GB" w:hAnsi="Hiragino Sans GB" w:eastAsia="Hiragino Sans GB" w:cs="Hiragino Sans GB"/>
            <w:sz w:val="20"/>
          </w:rPr>
          <w:t>SEC EDGAR公开数据API说明</w:t>
        </w:r>
      </w:hyperlink>
    </w:p>
    <w:p>
      <w:pPr>
        <w:spacing w:after="120"/>
      </w:pPr>
      <w:r>
        <w:t xml:space="preserve">S15  </w:t>
      </w:r>
      <w:hyperlink r:id="rId16">
        <w:r>
          <w:rPr>
            <w:color w:val="244A64"/>
            <w:rFonts w:ascii="Hiragino Sans GB" w:hAnsi="Hiragino Sans GB" w:eastAsia="Hiragino Sans GB" w:cs="Hiragino Sans GB"/>
            <w:sz w:val="20"/>
          </w:rPr>
          <w:t>FactSet Point in Time Consensus方法</w:t>
        </w:r>
      </w:hyperlink>
    </w:p>
    <w:p>
      <w:pPr>
        <w:spacing w:after="120"/>
      </w:pPr>
      <w:r>
        <w:t xml:space="preserve">S16  </w:t>
      </w:r>
      <w:hyperlink r:id="rId26">
        <w:r>
          <w:rPr>
            <w:color w:val="244A64"/>
            <w:rFonts w:ascii="Hiragino Sans GB" w:hAnsi="Hiragino Sans GB" w:eastAsia="Hiragino Sans GB" w:cs="Hiragino Sans GB"/>
            <w:sz w:val="20"/>
          </w:rPr>
          <w:t>NIST AI Risk Management Framework 1.0 2023年1月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设计版本 1.0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6"/>
      </w:rPr>
      <w:t>个人商业分析平台  研究与决策规程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93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Hiragino Sans GB" w:hAnsi="Hiragino Sans GB" w:eastAsia="Hiragino Sans GB" w:cs="Hiragino Sans GB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fainstitute.org/standards/professionals/code-ethics-standards/standards-of-practice-v-a" TargetMode="External"/><Relationship Id="rId12" Type="http://schemas.openxmlformats.org/officeDocument/2006/relationships/hyperlink" Target="https://www.sec.gov/search-filings/edgar-application-programming-interfaces" TargetMode="External"/><Relationship Id="rId13" Type="http://schemas.openxmlformats.org/officeDocument/2006/relationships/hyperlink" Target="https://www.stripe.press/poor-charlies-almanack/book" TargetMode="External"/><Relationship Id="rId14" Type="http://schemas.openxmlformats.org/officeDocument/2006/relationships/hyperlink" Target="https://ieeexplore.ieee.org/document/4082064/" TargetMode="External"/><Relationship Id="rId15" Type="http://schemas.openxmlformats.org/officeDocument/2006/relationships/hyperlink" Target="https://www.berkshirehathaway.com/letters/1986.html" TargetMode="External"/><Relationship Id="rId16" Type="http://schemas.openxmlformats.org/officeDocument/2006/relationships/hyperlink" Target="https://insight.factset.com/hubfs/Resources%20Section/White%20Papers/ID11996_point_in_time.pdf" TargetMode="External"/><Relationship Id="rId17" Type="http://schemas.openxmlformats.org/officeDocument/2006/relationships/hyperlink" Target="https://www.berkshirehathaway.com/letters/1996.html" TargetMode="External"/><Relationship Id="rId18" Type="http://schemas.openxmlformats.org/officeDocument/2006/relationships/hyperlink" Target="https://www.stripe.press/poor-charlies-almanack/talk-four" TargetMode="External"/><Relationship Id="rId19" Type="http://schemas.openxmlformats.org/officeDocument/2006/relationships/hyperlink" Target="https://rpc.cfainstitute.org/sites/default/files/-/media/documents/book/rf-publication/1977/rf-v1977-n1-4731-pdf.pdf" TargetMode="External"/><Relationship Id="rId20" Type="http://schemas.openxmlformats.org/officeDocument/2006/relationships/hyperlink" Target="https://www.fidelity.com/bin-public/060_www_fidelity_com/documents/learning-center/110322%20rewards%20exclusive_UnderstandtheChange-Transcript_%20F.pdf" TargetMode="External"/><Relationship Id="rId21" Type="http://schemas.openxmlformats.org/officeDocument/2006/relationships/hyperlink" Target="https://www.oaktreecapital.com/docs/default-source/memos/2015-06-08-risk-revisited-again.pdf" TargetMode="External"/><Relationship Id="rId22" Type="http://schemas.openxmlformats.org/officeDocument/2006/relationships/hyperlink" Target="https://www.oaktreecapital.com/insights/memo/i-beg-to-differ" TargetMode="External"/><Relationship Id="rId23" Type="http://schemas.openxmlformats.org/officeDocument/2006/relationships/hyperlink" Target="https://www.ipcc.ch/site/assets/uploads/2018/12/ar5_uncertainty-guidance-note.pdf" TargetMode="External"/><Relationship Id="rId24" Type="http://schemas.openxmlformats.org/officeDocument/2006/relationships/hyperlink" Target="https://sites.stat.washington.edu/people/raftery/Research/PDF/Gneiting2007jasa.pdf" TargetMode="External"/><Relationship Id="rId25" Type="http://schemas.openxmlformats.org/officeDocument/2006/relationships/hyperlink" Target="https://archive.nyu.edu/jspui/bitstream/2451/27075/2/wpa98077.pdf" TargetMode="External"/><Relationship Id="rId26" Type="http://schemas.openxmlformats.org/officeDocument/2006/relationships/hyperlink" Target="https://nvlpubs.nist.gov/nistpubs/ai/NIST.AI.100-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个人商业分析平台研究与决策规程</dc:title>
  <dc:subject>个人商业分析平台的方法 证据 判断与产品规程</dc:subject>
  <dc:creator>Codex</dc:creator>
  <cp:keywords>公司研究 研究制度 证据 可信度 决策 版本1.0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