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85a596b8-e7a4-45ee-ac04-38dd58a04154</w:t>
            </w:r>
          </w:p>
        </w:tc>
        <w:tc>
          <w:tcPr>
            <w:tcW w:type="dxa" w:w="617"/>
          </w:tcPr>
          <w:p>
            <w:r>
              <w:t>Trivalence Mining Corp.</w:t>
            </w:r>
          </w:p>
        </w:tc>
        <w:tc>
          <w:tcPr>
            <w:tcW w:type="dxa" w:w="617"/>
          </w:tcPr>
          <w:p>
            <w:r>
              <w:t>4/24/1963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436-123-3850</w:t>
            </w:r>
          </w:p>
        </w:tc>
        <w:tc>
          <w:tcPr>
            <w:tcW w:type="dxa" w:w="617"/>
          </w:tcPr>
          <w:p>
            <w:r>
              <w:t>hr@trivalenceminingcorp.org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377786502619439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$5,061,238,299.00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348006316739398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$69,040,670,068.00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