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346033772097279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$61,309,620,727.00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342051716974399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$16,294,993,825.00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