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Banque Privée BCP (Suisse) SA, Geneva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