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0815f288-380b-4b4e-b263-1f75dd69b72b</w:t>
            </w:r>
          </w:p>
        </w:tc>
        <w:tc>
          <w:tcPr>
            <w:tcW w:type="dxa" w:w="617"/>
          </w:tcPr>
          <w:p>
            <w:r>
              <w:t>AXA</w:t>
            </w:r>
          </w:p>
        </w:tc>
        <w:tc>
          <w:tcPr>
            <w:tcW w:type="dxa" w:w="617"/>
          </w:tcPr>
          <w:p>
            <w:r>
              <w:t>8/26/1989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409-122-5419</w:t>
            </w:r>
          </w:p>
        </w:tc>
        <w:tc>
          <w:tcPr>
            <w:tcW w:type="dxa" w:w="617"/>
          </w:tcPr>
          <w:p>
            <w:r>
              <w:t>reach@axa.org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378634504241555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$45,631,520,989.00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340275458888937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$85,470,875,591.00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