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5e74f6bc-0894-4d6a-9b5f-a16749aeacb9</w:t>
            </w:r>
          </w:p>
        </w:tc>
        <w:tc>
          <w:tcPr>
            <w:tcW w:type="dxa" w:w="332"/>
          </w:tcPr>
          <w:p>
            <w:r>
              <w:t>American Israeli Paper Mills Ltd.</w:t>
            </w:r>
          </w:p>
        </w:tc>
        <w:tc>
          <w:tcPr>
            <w:tcW w:type="dxa" w:w="332"/>
          </w:tcPr>
          <w:p>
            <w:r>
              <w:t>5/24/1966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41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672-174-8489</w:t>
            </w:r>
          </w:p>
        </w:tc>
        <w:tc>
          <w:tcPr>
            <w:tcW w:type="dxa" w:w="332"/>
          </w:tcPr>
          <w:p>
            <w:r>
              <w:t>marketing@americanisraelipapermillsltd.org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$12,693,588,815.00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$61,824,137,729.00</w:t>
            </w:r>
          </w:p>
        </w:tc>
        <w:tc>
          <w:tcPr>
            <w:tcW w:type="dxa" w:w="332"/>
          </w:tcPr>
          <w:p>
            <w:r>
              <w:t>$19,347,581,220.00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$85,795,443,313.00</w:t>
            </w:r>
          </w:p>
        </w:tc>
        <w:tc>
          <w:tcPr>
            <w:tcW w:type="dxa" w:w="332"/>
          </w:tcPr>
          <w:p>
            <w:r>
              <w:t>12809151792.0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$12,984,083,842.00</w:t>
            </w:r>
          </w:p>
        </w:tc>
        <w:tc>
          <w:tcPr>
            <w:tcW w:type="dxa" w:w="332"/>
          </w:tcPr>
          <w:p>
            <w:r>
              <w:t>4024007166370584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$83,061,494,926.00</w:t>
            </w:r>
          </w:p>
        </w:tc>
        <w:tc>
          <w:tcPr>
            <w:tcW w:type="dxa" w:w="332"/>
          </w:tcPr>
          <w:p>
            <w:r>
              <w:t>$71,436,019,723.00</w:t>
            </w:r>
          </w:p>
        </w:tc>
        <w:tc>
          <w:tcPr>
            <w:tcW w:type="dxa" w:w="332"/>
          </w:tcPr>
          <w:p>
            <w:r>
              <w:t>$2,262,719,031.00</w:t>
            </w:r>
          </w:p>
        </w:tc>
      </w:tr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$43,395,456,784.00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$32,099,427,293.00</w:t>
            </w:r>
          </w:p>
        </w:tc>
        <w:tc>
          <w:tcPr>
            <w:tcW w:type="dxa" w:w="332"/>
          </w:tcPr>
          <w:p>
            <w:r>
              <w:t>$90,685,505,593.00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$32,693,340,145.00</w:t>
            </w:r>
          </w:p>
        </w:tc>
        <w:tc>
          <w:tcPr>
            <w:tcW w:type="dxa" w:w="332"/>
          </w:tcPr>
          <w:p>
            <w:r>
              <w:t>38984380897.0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$43,026,394,426.00</w:t>
            </w:r>
          </w:p>
        </w:tc>
        <w:tc>
          <w:tcPr>
            <w:tcW w:type="dxa" w:w="332"/>
          </w:tcPr>
          <w:p>
            <w:r>
              <w:t>4916203771270829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$85,393,503,986.00</w:t>
            </w:r>
          </w:p>
        </w:tc>
        <w:tc>
          <w:tcPr>
            <w:tcW w:type="dxa" w:w="332"/>
          </w:tcPr>
          <w:p>
            <w:r>
              <w:t>$95,838,025,793.00</w:t>
            </w:r>
          </w:p>
        </w:tc>
        <w:tc>
          <w:tcPr>
            <w:tcW w:type="dxa" w:w="332"/>
          </w:tcPr>
          <w:p>
            <w:r>
              <w:t>$47,491,979,335.00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$22,477,113,647.00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$3,248,926,448.00</w:t>
            </w:r>
          </w:p>
        </w:tc>
        <w:tc>
          <w:tcPr>
            <w:tcW w:type="dxa" w:w="332"/>
          </w:tcPr>
          <w:p>
            <w:r>
              <w:t>$99,953,333,441.00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$7,399,246,054.00</w:t>
            </w:r>
          </w:p>
        </w:tc>
        <w:tc>
          <w:tcPr>
            <w:tcW w:type="dxa" w:w="332"/>
          </w:tcPr>
          <w:p>
            <w:r>
              <w:t>78506343984.0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$81,751,850,117.00</w:t>
            </w:r>
          </w:p>
        </w:tc>
        <w:tc>
          <w:tcPr>
            <w:tcW w:type="dxa" w:w="332"/>
          </w:tcPr>
          <w:p>
            <w:r>
              <w:t>4036833199999966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$19,442,589,051.00</w:t>
            </w:r>
          </w:p>
        </w:tc>
        <w:tc>
          <w:tcPr>
            <w:tcW w:type="dxa" w:w="332"/>
          </w:tcPr>
          <w:p>
            <w:r>
              <w:t>$83,651,825,995.00</w:t>
            </w:r>
          </w:p>
        </w:tc>
        <w:tc>
          <w:tcPr>
            <w:tcW w:type="dxa" w:w="332"/>
          </w:tcPr>
          <w:p>
            <w:r>
              <w:t>$6,084,116,094.00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$84,949,043,299.00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$28,535,168,601.00</w:t>
            </w:r>
          </w:p>
        </w:tc>
        <w:tc>
          <w:tcPr>
            <w:tcW w:type="dxa" w:w="332"/>
          </w:tcPr>
          <w:p>
            <w:r>
              <w:t>$27,300,932,294.00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$7,252,400,629.00</w:t>
            </w:r>
          </w:p>
        </w:tc>
        <w:tc>
          <w:tcPr>
            <w:tcW w:type="dxa" w:w="332"/>
          </w:tcPr>
          <w:p>
            <w:r>
              <w:t>80147123092.0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$66,108,225,694.00</w:t>
            </w:r>
          </w:p>
        </w:tc>
        <w:tc>
          <w:tcPr>
            <w:tcW w:type="dxa" w:w="332"/>
          </w:tcPr>
          <w:p>
            <w:r>
              <w:t>4929971095458198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$56,355,826,286.00</w:t>
            </w:r>
          </w:p>
        </w:tc>
        <w:tc>
          <w:tcPr>
            <w:tcW w:type="dxa" w:w="332"/>
          </w:tcPr>
          <w:p>
            <w:r>
              <w:t>$85,351,135,961.00</w:t>
            </w:r>
          </w:p>
        </w:tc>
        <w:tc>
          <w:tcPr>
            <w:tcW w:type="dxa" w:w="332"/>
          </w:tcPr>
          <w:p>
            <w:r>
              <w:t>$8,623,430,418.00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$879,924,130.00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$74,984,485,661.00</w:t>
            </w:r>
          </w:p>
        </w:tc>
        <w:tc>
          <w:tcPr>
            <w:tcW w:type="dxa" w:w="332"/>
          </w:tcPr>
          <w:p>
            <w:r>
              <w:t>$83,662,918,928.00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$89,976,774,804.00</w:t>
            </w:r>
          </w:p>
        </w:tc>
        <w:tc>
          <w:tcPr>
            <w:tcW w:type="dxa" w:w="332"/>
          </w:tcPr>
          <w:p>
            <w:r>
              <w:t>58448446963.0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$26,315,152,699.00</w:t>
            </w:r>
          </w:p>
        </w:tc>
        <w:tc>
          <w:tcPr>
            <w:tcW w:type="dxa" w:w="332"/>
          </w:tcPr>
          <w:p>
            <w:r>
              <w:t>4716834427312664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$42,332,678,468.00</w:t>
            </w:r>
          </w:p>
        </w:tc>
        <w:tc>
          <w:tcPr>
            <w:tcW w:type="dxa" w:w="332"/>
          </w:tcPr>
          <w:p>
            <w:r>
              <w:t>$52,824,394,825.00</w:t>
            </w:r>
          </w:p>
        </w:tc>
        <w:tc>
          <w:tcPr>
            <w:tcW w:type="dxa" w:w="332"/>
          </w:tcPr>
          <w:p>
            <w:r>
              <w:t>$38,568,265,013.00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$40,848,794,233.00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$26,668,063,969.00</w:t>
            </w:r>
          </w:p>
        </w:tc>
        <w:tc>
          <w:tcPr>
            <w:tcW w:type="dxa" w:w="332"/>
          </w:tcPr>
          <w:p>
            <w:r>
              <w:t>$34,699,485,433.00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$15,355,859,584.00</w:t>
            </w:r>
          </w:p>
        </w:tc>
        <w:tc>
          <w:tcPr>
            <w:tcW w:type="dxa" w:w="332"/>
          </w:tcPr>
          <w:p>
            <w:r>
              <w:t>41159684755.0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$97,881,527,992.00</w:t>
            </w:r>
          </w:p>
        </w:tc>
        <w:tc>
          <w:tcPr>
            <w:tcW w:type="dxa" w:w="332"/>
          </w:tcPr>
          <w:p>
            <w:r>
              <w:t>4929677581765349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$3,367,340,586.00</w:t>
            </w:r>
          </w:p>
        </w:tc>
        <w:tc>
          <w:tcPr>
            <w:tcW w:type="dxa" w:w="332"/>
          </w:tcPr>
          <w:p>
            <w:r>
              <w:t>$64,786,711,817.00</w:t>
            </w:r>
          </w:p>
        </w:tc>
        <w:tc>
          <w:tcPr>
            <w:tcW w:type="dxa" w:w="332"/>
          </w:tcPr>
          <w:p>
            <w:r>
              <w:t>$14,569,344,134.00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KBL European Private Bankers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$59,225,640,649.00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$93,445,943,931.00</w:t>
            </w:r>
          </w:p>
        </w:tc>
        <w:tc>
          <w:tcPr>
            <w:tcW w:type="dxa" w:w="332"/>
          </w:tcPr>
          <w:p>
            <w:r>
              <w:t>$23,367,282,527.00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$12,454,496,338.00</w:t>
            </w:r>
          </w:p>
        </w:tc>
        <w:tc>
          <w:tcPr>
            <w:tcW w:type="dxa" w:w="332"/>
          </w:tcPr>
          <w:p>
            <w:r>
              <w:t>16142594351.0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$4,027,006,555.00</w:t>
            </w:r>
          </w:p>
        </w:tc>
        <w:tc>
          <w:tcPr>
            <w:tcW w:type="dxa" w:w="332"/>
          </w:tcPr>
          <w:p>
            <w:r>
              <w:t>4024007167224756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$84,719,392,697.00</w:t>
            </w:r>
          </w:p>
        </w:tc>
        <w:tc>
          <w:tcPr>
            <w:tcW w:type="dxa" w:w="332"/>
          </w:tcPr>
          <w:p>
            <w:r>
              <w:t>$16,916,079,063.00</w:t>
            </w:r>
          </w:p>
        </w:tc>
        <w:tc>
          <w:tcPr>
            <w:tcW w:type="dxa" w:w="332"/>
          </w:tcPr>
          <w:p>
            <w:r>
              <w:t>$31,503,545,862.00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