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Saxo Bank</w:t>
            </w:r>
          </w:p>
        </w:tc>
        <w:tc>
          <w:tcPr>
            <w:tcW w:type="dxa" w:w="864"/>
          </w:tcPr>
          <w:p>
            <w:r>
              <w:t>Czech Republic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