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bf36cc88-14e9-4795-a5d0-7d939ec42333</w:t>
            </w:r>
          </w:p>
        </w:tc>
        <w:tc>
          <w:tcPr>
            <w:tcW w:type="dxa" w:w="617"/>
          </w:tcPr>
          <w:p>
            <w:r>
              <w:t>Premier International Foods plc</w:t>
            </w:r>
          </w:p>
        </w:tc>
        <w:tc>
          <w:tcPr>
            <w:tcW w:type="dxa" w:w="617"/>
          </w:tcPr>
          <w:p>
            <w:r>
              <w:t>6/13/1979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509-222-0158</w:t>
            </w:r>
          </w:p>
        </w:tc>
        <w:tc>
          <w:tcPr>
            <w:tcW w:type="dxa" w:w="617"/>
          </w:tcPr>
          <w:p>
            <w:r>
              <w:t>info@premierinternationalfoodsplc.org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378628649955434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$43,610,456,889.00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</w:tr>
      <w:tr>
        <w:tc>
          <w:tcPr>
            <w:tcW w:type="dxa" w:w="617"/>
          </w:tcPr>
          <w:p>
            <w:r>
              <w:t>7f2d17d3-13fd-4f18-a678-5805ab5fa44d</w:t>
            </w:r>
          </w:p>
        </w:tc>
        <w:tc>
          <w:tcPr>
            <w:tcW w:type="dxa" w:w="617"/>
          </w:tcPr>
          <w:p>
            <w:r>
              <w:t>Haemacure Corp.</w:t>
            </w:r>
          </w:p>
        </w:tc>
        <w:tc>
          <w:tcPr>
            <w:tcW w:type="dxa" w:w="617"/>
          </w:tcPr>
          <w:p>
            <w:r>
              <w:t>12/8/1993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757-765-4803</w:t>
            </w:r>
          </w:p>
        </w:tc>
        <w:tc>
          <w:tcPr>
            <w:tcW w:type="dxa" w:w="617"/>
          </w:tcPr>
          <w:p>
            <w:r>
              <w:t>info@haemacurecorp.org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379484948683395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$93,555,578,284.00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