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27ce7b74-7d6a-4d13-b91e-814f61dd179d</w:t>
            </w:r>
          </w:p>
        </w:tc>
        <w:tc>
          <w:tcPr>
            <w:tcW w:type="dxa" w:w="540"/>
          </w:tcPr>
          <w:p>
            <w:r>
              <w:t>ABB Ltd.</w:t>
            </w:r>
          </w:p>
        </w:tc>
        <w:tc>
          <w:tcPr>
            <w:tcW w:type="dxa" w:w="540"/>
          </w:tcPr>
          <w:p>
            <w:r>
              <w:t>8/20/1984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688-160-3651</w:t>
            </w:r>
          </w:p>
        </w:tc>
        <w:tc>
          <w:tcPr>
            <w:tcW w:type="dxa" w:w="540"/>
          </w:tcPr>
          <w:p>
            <w:r>
              <w:t>marketing@abbltd.org</w:t>
            </w:r>
          </w:p>
        </w:tc>
        <w:tc>
          <w:tcPr>
            <w:tcW w:type="dxa" w:w="540"/>
          </w:tcPr>
          <w:p>
            <w:r>
              <w:t>Greece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$81,369,208,595.00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Greece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$78,811,804,930.00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