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ção"/>
    <w:p>
      <w:pPr>
        <w:pStyle w:val="Ttulo2"/>
      </w:pPr>
      <w:r>
        <w:t xml:space="preserve">1. Introdução</w:t>
      </w:r>
    </w:p>
    <w:bookmarkStart w:id="20" w:name="objetivo"/>
    <w:p>
      <w:pPr>
        <w:pStyle w:val="Ttulo3"/>
      </w:pPr>
      <w:r>
        <w:t xml:space="preserve">1.1. Objetivo</w:t>
      </w:r>
    </w:p>
    <w:p>
      <w:pPr>
        <w:pStyle w:val="FirstParagraph"/>
      </w:pPr>
      <w:r>
        <w:t xml:space="preserve">Este capítulo tem como objetivo apresentar um projeto de análise de dados baseado em caso de ensino com a liguagem de programação *</w:t>
      </w:r>
      <w:r>
        <w:rPr>
          <w:bCs/>
          <w:b/>
        </w:rPr>
        <w:t xml:space="preserve">R</w:t>
      </w:r>
      <w:r>
        <w:t xml:space="preserve">.</w:t>
      </w:r>
    </w:p>
    <w:bookmarkEnd w:id="20"/>
    <w:bookmarkStart w:id="21" w:name="habilidades-a-serem-desenvolvidas"/>
    <w:p>
      <w:pPr>
        <w:pStyle w:val="Ttulo3"/>
      </w:pPr>
      <w:r>
        <w:t xml:space="preserve">1.2. Habilidades a serem desenvolvidas</w:t>
      </w:r>
    </w:p>
    <w:p>
      <w:pPr>
        <w:pStyle w:val="FirstParagraph"/>
      </w:pPr>
      <w:r>
        <w:t xml:space="preserve">A atividade envolve a defesa de uma posição pelo aluno sobre a situação problema. Assim, nessa ativiade, buscamos:</w:t>
      </w:r>
      <w:r>
        <w:t xml:space="preserve"> </w:t>
      </w:r>
      <w:r>
        <w:t xml:space="preserve">1. a formulação de perguntas de pesquisa/hipóteses,</w:t>
      </w:r>
      <w:r>
        <w:br/>
      </w:r>
      <w:r>
        <w:t xml:space="preserve">2. análise exploratória inicial dos dados,</w:t>
      </w:r>
      <w:r>
        <w:br/>
      </w:r>
      <w:r>
        <w:t xml:space="preserve">3. depuração de erros na base de dados/busca por outliers/limpeza e higenização dos dados,</w:t>
      </w:r>
      <w:r>
        <w:br/>
      </w:r>
      <w:r>
        <w:t xml:space="preserve">4. refazer a análise exploratória após a limpeza dos dados,</w:t>
      </w:r>
      <w:r>
        <w:br/>
      </w:r>
      <w:r>
        <w:t xml:space="preserve">5. escolha de um teste de hipóteses adequado</w:t>
      </w:r>
      <w:r>
        <w:br/>
      </w:r>
      <w:r>
        <w:t xml:space="preserve">6. avaliação das condições minimas para o teste de hipoteses</w:t>
      </w:r>
      <w:r>
        <w:br/>
      </w:r>
      <w:r>
        <w:t xml:space="preserve">7. aplicação de testes de hipóteses/ realização do procedimentos</w:t>
      </w:r>
      <w:r>
        <w:br/>
      </w:r>
      <w:r>
        <w:t xml:space="preserve">8. interpretação dos resultados.</w:t>
      </w:r>
      <w:r>
        <w:br/>
      </w:r>
      <w:r>
        <w:t xml:space="preserve">9. escrita de um parecer com base no teste de hipoteses</w:t>
      </w:r>
    </w:p>
    <w:bookmarkEnd w:id="21"/>
    <w:bookmarkStart w:id="22" w:name="público-alvo"/>
    <w:p>
      <w:pPr>
        <w:pStyle w:val="Ttulo3"/>
      </w:pPr>
      <w:r>
        <w:t xml:space="preserve">1.3. Público-alvo</w:t>
      </w:r>
    </w:p>
    <w:p>
      <w:pPr>
        <w:pStyle w:val="FirstParagraph"/>
      </w:pPr>
      <w:r>
        <w:t xml:space="preserve">Alunos das ciências humanas e sociais, com enfase nos cursos de Administração Pública e de Empresas, Ciencia Política, Economia e Sociologia.</w:t>
      </w:r>
    </w:p>
    <w:bookmarkEnd w:id="22"/>
    <w:bookmarkEnd w:id="23"/>
    <w:bookmarkStart w:id="24" w:name="os-objetivos-pedagógicos."/>
    <w:p>
      <w:pPr>
        <w:pStyle w:val="Ttulo2"/>
      </w:pPr>
      <w:r>
        <w:t xml:space="preserve">2. Os objetivos pedagógicos.</w:t>
      </w:r>
    </w:p>
    <w:bookmarkEnd w:id="24"/>
    <w:bookmarkStart w:id="25" w:name="os-objetivos-pedagógicos.-1"/>
    <w:p>
      <w:pPr>
        <w:pStyle w:val="Ttulo2"/>
      </w:pPr>
      <w:r>
        <w:t xml:space="preserve">2.1. Os objetivos pedagógicos.</w:t>
      </w:r>
    </w:p>
    <w:bookmarkEnd w:id="25"/>
    <w:bookmarkStart w:id="26" w:name="sequencia-didática"/>
    <w:p>
      <w:pPr>
        <w:pStyle w:val="Ttulo2"/>
      </w:pPr>
      <w:r>
        <w:t xml:space="preserve">2.2 Sequencia didática</w:t>
      </w:r>
    </w:p>
    <w:bookmarkEnd w:id="26"/>
    <w:bookmarkStart w:id="28" w:name="casos-de-ensino-teoria"/>
    <w:p>
      <w:pPr>
        <w:pStyle w:val="Ttulo2"/>
      </w:pPr>
      <w:r>
        <w:t xml:space="preserve">3. Casos de ensino – Teoria,</w:t>
      </w:r>
    </w:p>
    <w:p>
      <w:pPr>
        <w:pStyle w:val="FirstParagraph"/>
      </w:pPr>
      <w:r>
        <w:t xml:space="preserve">Casos para ensino em Administração Pública são relatos de situações da vida organizacional, construídos com propósitos educacionais específicos (Roesch,2007).</w:t>
      </w:r>
    </w:p>
    <w:p>
      <w:pPr>
        <w:pStyle w:val="Corpodetexto"/>
      </w:pPr>
      <w:r>
        <w:t xml:space="preserve">a estrutura e o processo de redação de casos para ensino fundamenta-se na em 3 grandes pilares</w:t>
      </w:r>
    </w:p>
    <w:p>
      <w:pPr>
        <w:pStyle w:val="Corpodetexto"/>
      </w:pPr>
      <w:r>
        <w:t xml:space="preserve">o desenvolvimento do caso-problema e</w:t>
      </w:r>
      <w:r>
        <w:t xml:space="preserve"> </w:t>
      </w:r>
      <w:r>
        <w:t xml:space="preserve">a narração da contextualização da forma interessante</w:t>
      </w:r>
      <w:r>
        <w:t xml:space="preserve"> </w:t>
      </w:r>
      <w:r>
        <w:t xml:space="preserve">o conflito entre os atores/personagens</w:t>
      </w:r>
    </w:p>
    <w:bookmarkStart w:id="27" w:name="Xad1708ec9daea739ccdfe0ab5f6c3e92040b8e0"/>
    <w:p>
      <w:pPr>
        <w:pStyle w:val="Ttulo3"/>
      </w:pPr>
      <w:r>
        <w:t xml:space="preserve">3.1. O conflito entre os personagens e o problema de pesquisa</w:t>
      </w:r>
    </w:p>
    <w:p>
      <w:pPr>
        <w:pStyle w:val="FirstParagraph"/>
      </w:pPr>
      <w:r>
        <w:t xml:space="preserve">Aqui devemos ter pelo menos duas posições antagônicas. Devemos ter um conflito entre os os dois personagens do caso de estudo. Buscamos com isso que o aluno se posicione sobre o assunto fundamentando sua análise estatística.</w:t>
      </w:r>
    </w:p>
    <w:bookmarkEnd w:id="27"/>
    <w:bookmarkEnd w:id="28"/>
    <w:bookmarkStart w:id="29" w:name="Xc3fc2e6f4c5d12f1c60a8de32aec3d7fcd24c3b"/>
    <w:p>
      <w:pPr>
        <w:pStyle w:val="Ttulo2"/>
      </w:pPr>
      <w:r>
        <w:t xml:space="preserve">3.2. A autoria do relatório e o letramento estatístico</w:t>
      </w:r>
    </w:p>
    <w:p>
      <w:pPr>
        <w:pStyle w:val="FirstParagraph"/>
      </w:pPr>
      <w:r>
        <w:t xml:space="preserve">Aqui o aluno tem que escrever um parecer fundamentado na análise estatística para algum personagem do caso de ensino. geralmente, o personagem é o(a) seu chefe.</w:t>
      </w:r>
    </w:p>
    <w:bookmarkEnd w:id="29"/>
    <w:bookmarkStart w:id="30" w:name="o-parecerposicionamento-do-alunxs"/>
    <w:p>
      <w:pPr>
        <w:pStyle w:val="Ttulo2"/>
      </w:pPr>
      <w:r>
        <w:t xml:space="preserve">3.3. O parecer/posicionamento do alunxs</w:t>
      </w:r>
    </w:p>
    <w:bookmarkEnd w:id="30"/>
    <w:bookmarkStart w:id="34" w:name="Xb9f349485bb325db7aec8045bf7beac11f9a675"/>
    <w:p>
      <w:pPr>
        <w:pStyle w:val="Ttulo2"/>
      </w:pPr>
      <w:r>
        <w:t xml:space="preserve">4. Casos de ensino – Exemplos Aplicados na estatística</w:t>
      </w:r>
    </w:p>
    <w:bookmarkStart w:id="31" w:name="Xcf1b43dd33e0a455ef6520e1f3af86a317a3500"/>
    <w:p>
      <w:pPr>
        <w:pStyle w:val="Ttulo3"/>
      </w:pPr>
      <w:r>
        <w:t xml:space="preserve">4.1. Estudo da discriminação racial na empresa pública de processamento de dados,</w:t>
      </w:r>
    </w:p>
    <w:bookmarkEnd w:id="31"/>
    <w:bookmarkStart w:id="32" w:name="X0f3468f801591831605019584e812596027bee4"/>
    <w:p>
      <w:pPr>
        <w:pStyle w:val="Ttulo3"/>
      </w:pPr>
      <w:r>
        <w:t xml:space="preserve">4.2. Estudo da discriminação racial na Escola Oliveira,</w:t>
      </w:r>
    </w:p>
    <w:bookmarkEnd w:id="32"/>
    <w:bookmarkStart w:id="33" w:name="X6e2604f7f1efce7f71c605bc5491b4bc0f1e6dc"/>
    <w:p>
      <w:pPr>
        <w:pStyle w:val="Ttulo3"/>
      </w:pPr>
      <w:r>
        <w:t xml:space="preserve">4.3. Estudo da desigualdade de gênero dos candidatos a vereador(a) no município de varre-e-sai</w:t>
      </w:r>
    </w:p>
    <w:bookmarkEnd w:id="33"/>
    <w:bookmarkEnd w:id="34"/>
    <w:bookmarkStart w:id="36" w:name="conclusão"/>
    <w:p>
      <w:pPr>
        <w:pStyle w:val="Ttulo2"/>
      </w:pPr>
      <w:r>
        <w:t xml:space="preserve">5. Conclusão</w:t>
      </w:r>
    </w:p>
    <w:p>
      <w:pPr>
        <w:pStyle w:val="FirstParagraph"/>
      </w:pPr>
      <w:r>
        <w:t xml:space="preserve">##Referências</w:t>
      </w:r>
      <w:r>
        <w:t xml:space="preserve"> </w:t>
      </w:r>
      <w:r>
        <w:t xml:space="preserve">1.Roesch, Sylvia Maria AzevedoNotas sobre a construção de casos para ensino. Revista de Administração Contemporânea [online]. 2007, v. 11, n. 2 [Acessado 27 Outubro 2021] , pp. 213-234. Disponível em:</w:t>
      </w:r>
      <w:r>
        <w:t xml:space="preserve"> </w:t>
      </w:r>
      <w:hyperlink r:id="rId35">
        <w:r>
          <w:rPr>
            <w:rStyle w:val="Hyperlink"/>
          </w:rPr>
          <w:t xml:space="preserve">https://doi.org/10.1590/S1415-65552007000200012</w:t>
        </w:r>
      </w:hyperlink>
      <w:r>
        <w:t xml:space="preserve">. Epub 18 Jan 2008. ISSN 1982-7849.</w:t>
      </w:r>
      <w:r>
        <w:t xml:space="preserve"> </w:t>
      </w:r>
      <w:hyperlink r:id="rId35">
        <w:r>
          <w:rPr>
            <w:rStyle w:val="Hyperlink"/>
          </w:rPr>
          <w:t xml:space="preserve">https://doi.org/10.1590/S1415-65552007000200012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Mudando os nomes das categorias</w:t>
      </w:r>
      <w:r>
        <w:br/>
      </w:r>
      <w:r>
        <w:rPr>
          <w:rStyle w:val="CommentTok"/>
        </w:rPr>
        <w:t xml:space="preserve">#&lt;!-- levels(avc$gender) &lt;- c("Feminino", "Masculino", "Outro") --&gt;</w:t>
      </w:r>
      <w:r>
        <w:br/>
      </w:r>
      <w:r>
        <w:rPr>
          <w:rStyle w:val="CommentTok"/>
        </w:rPr>
        <w:t xml:space="preserve">#&lt;!-- levels(avc$hypertension) &lt;- c("Não", "Sim") --&gt;</w:t>
      </w:r>
      <w:r>
        <w:br/>
      </w:r>
      <w:r>
        <w:rPr>
          <w:rStyle w:val="CommentTok"/>
        </w:rPr>
        <w:t xml:space="preserve">#&lt;!-- levels(avc$heart_disease) &lt;- c("Não", "Sim") --&gt;</w:t>
      </w:r>
      <w:r>
        <w:br/>
      </w:r>
      <w:r>
        <w:rPr>
          <w:rStyle w:val="CommentTok"/>
        </w:rPr>
        <w:t xml:space="preserve">#&lt;!-- levels(avc$ever_married) &lt;- c("Não", "Sim") --&gt;</w:t>
      </w:r>
      <w:r>
        <w:br/>
      </w:r>
      <w:r>
        <w:rPr>
          <w:rStyle w:val="CommentTok"/>
        </w:rPr>
        <w:t xml:space="preserve">#&lt;!-- levels(avc$work_type) &lt;- c("Filhos", "Governo", "Nunca trabalhou", "Privado", "Autônomo") --&gt;</w:t>
      </w:r>
      <w:r>
        <w:br/>
      </w:r>
      <w:r>
        <w:rPr>
          <w:rStyle w:val="CommentTok"/>
        </w:rPr>
        <w:t xml:space="preserve">#&lt;!-- levels(avc$Residence_type) &lt;- c("Rural", "Urbano") --&gt;</w:t>
      </w:r>
      <w:r>
        <w:br/>
      </w:r>
      <w:r>
        <w:rPr>
          <w:rStyle w:val="CommentTok"/>
        </w:rPr>
        <w:t xml:space="preserve">#&lt;!-- levels(avc$smoking_status) &lt;- c("Ex-fumante", "Nunca fumou", "Fuma", NA) # a informacao nao disponivel foi codificada como NA --&gt;</w:t>
      </w:r>
      <w:r>
        <w:br/>
      </w:r>
      <w:r>
        <w:rPr>
          <w:rStyle w:val="CommentTok"/>
        </w:rPr>
        <w:t xml:space="preserve">#&lt;!-- levels(avc$stroke) &lt;- c("Não", "Sim") --&gt;</w:t>
      </w:r>
    </w:p>
    <w:bookmarkEnd w:id="36"/>
    <w:sectPr w:rsidR="00EC1A6D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590/S1415-65552007000200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590/S1415-65552007000200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 de vida e AVC: analisando dados no R</vt:lpstr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2021-10-27T16:56:59Z</dcterms:created>
  <dcterms:modified xsi:type="dcterms:W3CDTF">2021-10-27T16:56:59Z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