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Fyrirtækið okkar er 45 manna vinnustaður þar sem við leggjum áherslu á fagmennsku, gagnsæi og sanngjarnt vinnuumhverfi fyrir alla starfsmenn. Í kjölfar yfirferðar á stöðu okkar, innri ferlum og skipulagi höfum við sett fram jafnréttisáætlun sem byggir á raunverulegri greiningu og skýrum markmiðum.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Áætlunin tekur til allra helstu þátta jafnréttislaga nr. 150/2020 og felur í sér markmið og tímasettar aðgerðir sem tryggja launajafnrétti, jafnan aðgang að lausum störfum, starfsþjálfun og símenntun, ásamt því að styðja betur við samræmingu fjölskyldu- og atvinnulífs. Þá felur áætlunin einnig í sér forvarnir og viðbragðsferla gegn kynbundnu ofbeldi, áreitni og mismunun.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