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gr.</w:t>
      </w:r>
    </w:p>
    <w:p>
      <w:r>
        <w:rPr>
          <w:b/>
        </w:rPr>
        <w:t xml:space="preserve">Gildissvið.</w:t>
      </w:r>
    </w:p>
    <w:p>
      <w:r>
        <w:t xml:space="preserve">Reglugerð þessi gildir um innflutning á plöntum.</w:t>
      </w:r>
    </w:p>
    <w:p>
      <w:r>
        <w:t xml:space="preserve">2. gr.</w:t>
      </w:r>
    </w:p>
    <w:p>
      <w:r>
        <w:t xml:space="preserve">Ráðherra er heimilt að setja nánari reglur um:</w:t>
      </w:r>
    </w:p>
    <w:p>
      <w:r>
        <w:t xml:space="preserve">Fyrsta lið með </w:t>
      </w:r>
      <w:r>
        <w:rPr>
          <w:b/>
        </w:rPr>
        <w:t>feitletrun</w:t>
      </w:r>
    </w:p>
  </w:body>
</w:document>
</file>