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详细规划编制工作流程</w:t>
      </w:r>
    </w:p>
    <w:p w14:paraId="2AD7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一、编制顺序</w:t>
      </w:r>
    </w:p>
    <w:p w14:paraId="47B1D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划管理办法》第八条 “经依法批准的城市、镇总体规划确定的建设用地均应当编制控制性详细规划”、第九条 “城市（镇）中心城区、旧城改造区、历史文化街区、近期建设区和储备土地、拟出让的土地以及其他城市建设重要控制区域，应当优先编制控制性详细规划”的规定，为有序推进编制工作、合理统筹资金，优先启动土地储备、拟出让地块的控制性详细规划编制，以相关股室提供的供地计划为基础，统筹确定编制范围与时序。</w:t>
      </w:r>
    </w:p>
    <w:p w14:paraId="756C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二、编制招标</w:t>
      </w:r>
    </w:p>
    <w:p w14:paraId="5E66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结合相关股室供地计划与国土空间总体规划，科学确定编制地块范围后，依法开展规划编制招标工作，委托具备相应资质的单位启动编制，招标周期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30 日。</w:t>
      </w:r>
    </w:p>
    <w:p w14:paraId="3BAF2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三、编制内容审核</w:t>
      </w:r>
    </w:p>
    <w:p w14:paraId="2CC5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（一）内部初步审查</w:t>
      </w:r>
    </w:p>
    <w:p w14:paraId="5C85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标单位完成规划草案后，依据《中华人民共和国城乡规划法》第四条、《某某省城乡规划条例》第十三条、《某某省控制性详细规划管理办法》第十一条、第十二条，《城市、镇控制性详细规划编制审批办法》第八条、第九条、第十条、第十一条规定，组织开展初步审查，审查通过后提交局务会审议，初步审查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26903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（二）公示与专家评审</w:t>
      </w:r>
    </w:p>
    <w:p w14:paraId="122D4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局务会审议通过后，依据《中华人民共和国城乡规划法》第二十六条、《某某省城乡规划条例》第二十条、《某某省控制性详细规划管理办法》第十三条、第十四条，《城市、镇控制性详细规划编制审批办法》第十二条、第十六条、第十七条规定，通过政府网站、规划地块现场公示草案，公示时间不少于 30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组织专家评审会征求意见，专家评审周期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根据公众意见、专家意见修改完善规划草案。</w:t>
      </w:r>
    </w:p>
    <w:p w14:paraId="1AF47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（三）规委会审议</w:t>
      </w:r>
    </w:p>
    <w:p w14:paraId="64DA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依据《某某省控制性详细规划管理办法》第十五条规定，将规划草案、初步审查意见、公众意见及采纳情况提交本级城乡规划委员会审议，审议周期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7 日，可与专家评审会同步推进。</w:t>
      </w:r>
    </w:p>
    <w:p w14:paraId="26377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四、县政府审批</w:t>
      </w:r>
    </w:p>
    <w:p w14:paraId="4C03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规划草案修改完善后，会同专家评审意见、规委会审议意见、公众意见及采纳情况等材料，报请县政府审批，审批周期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预计</w:t>
      </w:r>
      <w:r>
        <w:rPr>
          <w:rFonts w:hint="eastAsia" w:ascii="仿宋_GB2312" w:hAnsi="仿宋_GB2312" w:eastAsia="仿宋_GB2312" w:cs="仿宋_GB2312"/>
          <w:sz w:val="32"/>
          <w:szCs w:val="32"/>
        </w:rPr>
        <w:t>不少于 15 日。</w:t>
      </w:r>
    </w:p>
    <w:p w14:paraId="5E4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五、备案公示</w:t>
      </w:r>
    </w:p>
    <w:p w14:paraId="5B866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（一）备案与成果公示</w:t>
      </w:r>
    </w:p>
    <w:p w14:paraId="5204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规划经县政府批准后，依据《某某省城乡规划条例》第二十四条、第二十五条，《某某省控制性详细规划管理办法》第十六条、第十七条，《城市、镇控制性详细规划编制审批办法》第十五条、第十七条规定，报本级人民代表大会常务委员会和上一级人民政府备案；批准成果自批准之日起 30 日内，通过政府网站、当地主要媒体等便于公众知晓的方式公示，公示时间不少于 7 日。</w:t>
      </w:r>
    </w:p>
    <w:p w14:paraId="589FA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（二）备案主要内容</w:t>
      </w:r>
    </w:p>
    <w:p w14:paraId="26C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依据《某某省控制性详细规划管理办法》第十七条规定，备案材料包括：</w:t>
      </w:r>
    </w:p>
    <w:p w14:paraId="2B5B8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组织编制机关初步审查意见；</w:t>
      </w:r>
    </w:p>
    <w:p w14:paraId="3A97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公告情况及公众反馈意见；</w:t>
      </w:r>
    </w:p>
    <w:p w14:paraId="19D9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城乡规划委员会审议意见；</w:t>
      </w:r>
    </w:p>
    <w:p w14:paraId="312E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人民政府批准文件；</w:t>
      </w:r>
    </w:p>
    <w:p w14:paraId="3774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经批准的规划文本、图纸及附件。</w:t>
      </w:r>
    </w:p>
    <w:p w14:paraId="6F6E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六、规划修改</w:t>
      </w:r>
    </w:p>
    <w:p w14:paraId="45DB1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依据《中华人民共和国城乡规划法》第七条、第四十八条，《某某省控制性详细规划管理办法》第二十条、第二十一条，《城市、镇控制性详细规划编制审批办法》第二十条规定，经批准的控制性详细规划具有法定效力，非经法定程序不得修改。</w:t>
      </w:r>
    </w:p>
    <w:p w14:paraId="151D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确需修改的，先组织修改必要性专题论证，采取多种方式征求规划地段利害关系人意见，必要时组织听证；向县政府提交专题报告，经县政府同意后编制修改方案，按本流程法定程序审查报批。若修改内容与上位规划冲突，先行修改上位规划。</w:t>
      </w:r>
    </w:p>
    <w:sectPr>
      <w:headerReference w:type="default" r:id="rId5"/>
      <w:footerReference w:type="default" r:id="rId6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12EB4"/>
    <w:rsid w:val="20B253E4"/>
    <w:rsid w:val="2E851F57"/>
    <w:rsid w:val="3B8D4758"/>
    <w:rsid w:val="3C134065"/>
    <w:rsid w:val="49ED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1328</Words>
  <Characters>1338</Characters>
  <Lines>0</Lines>
  <Paragraphs>0</Paragraphs>
  <TotalTime>6</TotalTime>
  <ScaleCrop>false</ScaleCrop>
  <LinksUpToDate>false</LinksUpToDate>
  <CharactersWithSpaces>1356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2026-03-12T06:15:00Z</dcterms:created>
  <dc:creator>GHZ</dc:creator>
  <cp:lastModifiedBy>dmz</cp:lastModifiedBy>
  <dcterms:modified xsi:type="dcterms:W3CDTF">2026-03-12T06:58:43Z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eyJoZGlkIjoiMjkzZTVmM2ZhY2ViYzBlNTQwMTBjMjY4N2VhZmQ2YmQiLCJ1c2VySWQiOiIyMzM0MjYzNjEifQ==</vt:lpwstr>
  </property>
  <property fmtid="{D5CDD505-2E9C-101B-9397-08002B2CF9AE}" pid="4" name="ICV">
    <vt:lpwstr>57A2A84F447040E9B12AF0763FEF5BBD_12</vt:lpwstr>
  </property>
</Properties>
</file>