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0B140">
      <w:pPr>
        <w:pStyle w:val="14"/>
        <w:ind w:left="320" w:right="320" w:firstLine="840"/>
      </w:pPr>
      <w:r>
        <w:rPr>
          <w:rFonts w:hint="eastAsia"/>
        </w:rPr>
        <w:t>制性详细规划编制工作流程</w:t>
      </w:r>
    </w:p>
    <w:p w14:paraId="4F7ADB7E">
      <w:pPr>
        <w:pStyle w:val="2"/>
        <w:ind w:firstLine="198" w:firstLineChars="62"/>
      </w:pPr>
      <w:r>
        <w:rPr>
          <w:rFonts w:hint="eastAsia"/>
        </w:rPr>
        <w:t>一、编制顺序</w:t>
      </w:r>
    </w:p>
    <w:p w14:paraId="721A50FC">
      <w:pPr>
        <w:ind w:firstLine="640"/>
      </w:pPr>
      <w:r>
        <w:rPr>
          <w:rFonts w:hint="eastAsia"/>
        </w:rPr>
        <w:t>根据《某某省控制性详细规划管理办法》第八条“经依法批准的城市、镇总体规划确定的建设用地均应当编制控制性详细规划。”、第九条“城市（镇）中心城区、旧城改造区、历史文化街区、近期建设区和储备土地、拟出让的土地以及其他城市建设重要控制区域，应当优先编制控制性详细规划。”的要求，为有序开展编制工作，合理使用有限资金，优先启动拟进行土地储备或土地出让地块的编制工作，根据相关股室提供的供地计划为基础进行规划编制。</w:t>
      </w:r>
    </w:p>
    <w:p w14:paraId="275E41B2">
      <w:pPr>
        <w:pStyle w:val="2"/>
      </w:pPr>
      <w:r>
        <w:rPr>
          <w:rFonts w:hint="eastAsia"/>
        </w:rPr>
        <w:t>二、编制招标</w:t>
      </w:r>
    </w:p>
    <w:p w14:paraId="12EE9EF5">
      <w:pPr>
        <w:ind w:firstLine="640"/>
        <w:rPr>
          <w:rFonts w:hint="eastAsia" w:eastAsia="仿宋_GB2312"/>
          <w:lang w:eastAsia="zh-CN"/>
        </w:rPr>
      </w:pPr>
      <w:r>
        <w:rPr>
          <w:rFonts w:hint="eastAsia"/>
        </w:rPr>
        <w:t>根据相关股室提供的供地计划和国土空间总体规划设计，按需要合理确定编制地块范围后，开展规划编制招标工作，启动规划编制工作。</w:t>
      </w:r>
      <w:r>
        <w:rPr>
          <w:rFonts w:hint="eastAsia"/>
          <w:lang w:eastAsia="zh-CN"/>
        </w:rPr>
        <w:t>（</w:t>
      </w:r>
      <w:r>
        <w:rPr>
          <w:rFonts w:hint="eastAsia"/>
          <w:lang w:val="en-US" w:eastAsia="zh-CN"/>
        </w:rPr>
        <w:t>至少三十天</w:t>
      </w:r>
      <w:r>
        <w:rPr>
          <w:rFonts w:hint="eastAsia"/>
          <w:lang w:eastAsia="zh-CN"/>
        </w:rPr>
        <w:t>）</w:t>
      </w:r>
    </w:p>
    <w:p w14:paraId="40C35F11">
      <w:pPr>
        <w:pStyle w:val="2"/>
      </w:pPr>
      <w:r>
        <w:rPr>
          <w:rFonts w:hint="eastAsia"/>
        </w:rPr>
        <w:t>三、编制内容审核</w:t>
      </w:r>
    </w:p>
    <w:p w14:paraId="744B8823">
      <w:pPr>
        <w:ind w:firstLine="640"/>
        <w:rPr>
          <w:rFonts w:hint="eastAsia"/>
          <w:lang w:val="en-US" w:eastAsia="zh-CN"/>
        </w:rPr>
      </w:pPr>
      <w:r>
        <w:rPr>
          <w:rFonts w:hint="eastAsia"/>
          <w:lang w:val="en-US" w:eastAsia="zh-CN"/>
        </w:rPr>
        <w:t>中标单位形成草案后，根据《中华人民共和国城乡规划法》第四条、《某某省城乡规划条例》第十三条、《某某省控制性详细规划管理办法》第十一条、十二条、《城市、镇控制性详细规划编制审批办法》第八、九、十、十一条规定组织人员初步审查草案内容，提交局务会讨论。（至少十五天）</w:t>
      </w:r>
    </w:p>
    <w:p w14:paraId="744B1BF3">
      <w:pPr>
        <w:ind w:left="0" w:leftChars="0" w:firstLine="640" w:firstLineChars="0"/>
        <w:rPr>
          <w:rFonts w:hint="eastAsia"/>
          <w:lang w:val="en-US" w:eastAsia="zh-CN"/>
        </w:rPr>
      </w:pPr>
      <w:r>
        <w:rPr>
          <w:rFonts w:hint="eastAsia"/>
          <w:lang w:val="en-US" w:eastAsia="zh-CN"/>
        </w:rPr>
        <w:t>局内部讨论通过后，根据《中华人民共和国城乡规划法》第二十六条、《某某省城乡规划条例》第二十条、《某某省控制性详细规划管理办法》第十三、十四条、《城市、镇控制性详细规划编制审批办法》第十二、十六、十七条规定，在政府网站和规划地块公示草案征求公众意见（公示时间按相关规定不得少于三十天)，组织召开专家评审会征求专家意见（至少七天），根据相关意见修改规划草案。</w:t>
      </w:r>
    </w:p>
    <w:p w14:paraId="7FF1C5A9">
      <w:pPr>
        <w:ind w:left="0" w:leftChars="0" w:firstLine="640" w:firstLineChars="0"/>
        <w:rPr>
          <w:rFonts w:hint="eastAsia"/>
          <w:lang w:val="en-US" w:eastAsia="zh-CN"/>
        </w:rPr>
      </w:pPr>
      <w:r>
        <w:rPr>
          <w:rFonts w:hint="eastAsia"/>
          <w:lang w:val="en-US" w:eastAsia="zh-CN"/>
        </w:rPr>
        <w:t>经公示后，根据《某某省控制性详细规划管理办法》第十五条要求。提交规划草案及审查意见至本级城乡规划委员会审议，并附公众意见以及采纳情。（至少七天，可与专家评审会时间重叠）</w:t>
      </w:r>
    </w:p>
    <w:p w14:paraId="09E7653E">
      <w:pPr>
        <w:pStyle w:val="2"/>
        <w:bidi w:val="0"/>
        <w:rPr>
          <w:rFonts w:hint="eastAsia"/>
          <w:lang w:val="en-US" w:eastAsia="zh-CN"/>
        </w:rPr>
      </w:pPr>
      <w:r>
        <w:rPr>
          <w:rFonts w:hint="eastAsia"/>
          <w:lang w:val="en-US" w:eastAsia="zh-CN"/>
        </w:rPr>
        <w:t>四、县政府审批</w:t>
      </w:r>
    </w:p>
    <w:p w14:paraId="61CADBA0">
      <w:pPr>
        <w:ind w:left="0" w:leftChars="0" w:firstLine="640" w:firstLineChars="0"/>
        <w:rPr>
          <w:rFonts w:hint="eastAsia"/>
          <w:lang w:val="en-US" w:eastAsia="zh-CN"/>
        </w:rPr>
      </w:pPr>
      <w:r>
        <w:rPr>
          <w:rFonts w:hint="eastAsia"/>
          <w:lang w:val="en-US" w:eastAsia="zh-CN"/>
        </w:rPr>
        <w:t>规划草案修改完成后，同专家评审意见、规委会意见和公众意见及采纳情况等报县政府审批。（至少十五</w:t>
      </w:r>
      <w:bookmarkStart w:id="0" w:name="_GoBack"/>
      <w:bookmarkEnd w:id="0"/>
      <w:r>
        <w:rPr>
          <w:rFonts w:hint="eastAsia"/>
          <w:lang w:val="en-US" w:eastAsia="zh-CN"/>
        </w:rPr>
        <w:t>天）</w:t>
      </w:r>
    </w:p>
    <w:p w14:paraId="761B83FD">
      <w:pPr>
        <w:pStyle w:val="2"/>
        <w:bidi w:val="0"/>
        <w:rPr>
          <w:rFonts w:hint="eastAsia"/>
          <w:lang w:val="en-US" w:eastAsia="zh-CN"/>
        </w:rPr>
      </w:pPr>
      <w:r>
        <w:rPr>
          <w:rFonts w:hint="eastAsia"/>
          <w:lang w:val="en-US" w:eastAsia="zh-CN"/>
        </w:rPr>
        <w:t>五、备案公示</w:t>
      </w:r>
    </w:p>
    <w:p w14:paraId="3D645020">
      <w:pPr>
        <w:rPr>
          <w:rFonts w:hint="eastAsia"/>
          <w:lang w:val="en-US" w:eastAsia="zh-CN"/>
        </w:rPr>
      </w:pPr>
      <w:r>
        <w:rPr>
          <w:rFonts w:hint="eastAsia"/>
          <w:lang w:val="en-US" w:eastAsia="zh-CN"/>
        </w:rPr>
        <w:t>审批通过后，根据《某某省城乡规划条例》第二十四、二十五条、《某某省控制性详细规划管理办法》第十六、十七条、《城市、镇控制性详细规划编制审批办法》第十五、十七条规定，审批通过的规划成果应报本级人民代表大会常务委员会和上一级人民政府备案，并在三十日内以在政府网站和当地主要媒体发布等便于公众知晓方式公示规划成果（公示时间至少七天）。</w:t>
      </w:r>
    </w:p>
    <w:p w14:paraId="10E8A677">
      <w:pPr>
        <w:rPr>
          <w:rFonts w:hint="eastAsia"/>
          <w:lang w:val="en-US" w:eastAsia="zh-CN"/>
        </w:rPr>
      </w:pPr>
      <w:r>
        <w:rPr>
          <w:rFonts w:hint="eastAsia"/>
          <w:lang w:val="en-US" w:eastAsia="zh-CN"/>
        </w:rPr>
        <w:t>根据《某某省控制性详细规划管理办法》第十七条规定，备案的主要内容包括：</w:t>
      </w:r>
    </w:p>
    <w:p w14:paraId="5A5BD7DA">
      <w:pPr>
        <w:rPr>
          <w:rFonts w:hint="eastAsia"/>
          <w:lang w:val="en-US" w:eastAsia="zh-CN"/>
        </w:rPr>
      </w:pPr>
      <w:r>
        <w:rPr>
          <w:rFonts w:hint="eastAsia"/>
          <w:lang w:val="en-US" w:eastAsia="zh-CN"/>
        </w:rPr>
        <w:t>（一）组织编制机关初步审查意见；</w:t>
      </w:r>
    </w:p>
    <w:p w14:paraId="053F15B2">
      <w:pPr>
        <w:rPr>
          <w:rFonts w:hint="eastAsia"/>
          <w:lang w:val="en-US" w:eastAsia="zh-CN"/>
        </w:rPr>
      </w:pPr>
      <w:r>
        <w:rPr>
          <w:rFonts w:hint="eastAsia"/>
          <w:lang w:val="en-US" w:eastAsia="zh-CN"/>
        </w:rPr>
        <w:t>（二）公告情况及公众反馈意见；</w:t>
      </w:r>
    </w:p>
    <w:p w14:paraId="7B310848">
      <w:pPr>
        <w:rPr>
          <w:rFonts w:hint="eastAsia"/>
          <w:lang w:val="en-US" w:eastAsia="zh-CN"/>
        </w:rPr>
      </w:pPr>
      <w:r>
        <w:rPr>
          <w:rFonts w:hint="eastAsia"/>
          <w:lang w:val="en-US" w:eastAsia="zh-CN"/>
        </w:rPr>
        <w:t>（三）城乡规划委员会审议意见；</w:t>
      </w:r>
    </w:p>
    <w:p w14:paraId="04CFEF8B">
      <w:pPr>
        <w:rPr>
          <w:rFonts w:hint="eastAsia"/>
          <w:lang w:val="en-US" w:eastAsia="zh-CN"/>
        </w:rPr>
      </w:pPr>
      <w:r>
        <w:rPr>
          <w:rFonts w:hint="eastAsia"/>
          <w:lang w:val="en-US" w:eastAsia="zh-CN"/>
        </w:rPr>
        <w:t>（四）人民政府批准文件；</w:t>
      </w:r>
    </w:p>
    <w:p w14:paraId="42192244">
      <w:pPr>
        <w:rPr>
          <w:rFonts w:hint="eastAsia"/>
          <w:lang w:val="en-US" w:eastAsia="zh-CN"/>
        </w:rPr>
      </w:pPr>
      <w:r>
        <w:rPr>
          <w:rFonts w:hint="eastAsia"/>
          <w:lang w:val="en-US" w:eastAsia="zh-CN"/>
        </w:rPr>
        <w:t>（五）经批准的规划文本、图纸及附件。</w:t>
      </w:r>
    </w:p>
    <w:p w14:paraId="13AFF916">
      <w:pPr>
        <w:pStyle w:val="2"/>
        <w:bidi w:val="0"/>
        <w:rPr>
          <w:rFonts w:hint="eastAsia"/>
          <w:lang w:val="en-US" w:eastAsia="zh-CN"/>
        </w:rPr>
      </w:pPr>
      <w:r>
        <w:rPr>
          <w:rFonts w:hint="eastAsia"/>
          <w:lang w:val="en-US" w:eastAsia="zh-CN"/>
        </w:rPr>
        <w:t>六、规划修改</w:t>
      </w:r>
    </w:p>
    <w:p w14:paraId="4B84930B">
      <w:pPr>
        <w:rPr>
          <w:rFonts w:hint="eastAsia"/>
          <w:lang w:val="en-US" w:eastAsia="zh-CN"/>
        </w:rPr>
      </w:pPr>
      <w:r>
        <w:rPr>
          <w:rFonts w:hint="eastAsia"/>
          <w:lang w:val="en-US" w:eastAsia="zh-CN"/>
        </w:rPr>
        <w:t>根据《中华人民共和国城乡规划法》第七、四十八条《某某省控制性详细规划管理办法》第二十、二十一条、《城市、镇控制性详细规划编制审批办法》第二十条规定，规划成果一经审批通过即具有法定效力，未经法定程序不得修改。</w:t>
      </w:r>
    </w:p>
    <w:p w14:paraId="32672C2B">
      <w:pPr>
        <w:rPr>
          <w:rFonts w:hint="default"/>
          <w:lang w:val="en-US" w:eastAsia="zh-CN"/>
        </w:rPr>
      </w:pPr>
      <w:r>
        <w:rPr>
          <w:rFonts w:hint="eastAsia"/>
          <w:lang w:val="en-US" w:eastAsia="zh-CN"/>
        </w:rPr>
        <w:t>根据规定确需修改的，应先组织对控制性详细规划修改的必要性进行专题论证，采用多种方式征求规划地段内利害关系人的意见，必要时应当组织听证，向县政府提出专题报告，经县政府同意后方可组织编制修改方案，按法定程序审查报批。与上位规划冲突的应先修改上位规划。</w:t>
      </w:r>
    </w:p>
    <w:sectPr>
      <w:headerReference w:type="default" r:id="rId7"/>
      <w:footerReference w:type="default" r:id="rId8"/>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F8"/>
    <w:rsid w:val="00453BC3"/>
    <w:rsid w:val="005128CF"/>
    <w:rsid w:val="00561794"/>
    <w:rsid w:val="006E3190"/>
    <w:rsid w:val="00740513"/>
    <w:rsid w:val="0090564B"/>
    <w:rsid w:val="009B03F8"/>
    <w:rsid w:val="00B4204D"/>
    <w:rsid w:val="00B63DA1"/>
    <w:rsid w:val="00CC500B"/>
    <w:rsid w:val="00CE55AF"/>
    <w:rsid w:val="00DE2899"/>
    <w:rsid w:val="00EB7E87"/>
    <w:rsid w:val="00FD7FEE"/>
    <w:rsid w:val="031D2E6C"/>
    <w:rsid w:val="275F546F"/>
    <w:rsid w:val="79F93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200" w:firstLineChars="200"/>
    </w:pPr>
    <w:rPr>
      <w:rFonts w:eastAsia="仿宋_GB2312" w:asciiTheme="minorHAnsi" w:hAnsiTheme="minorHAnsi" w:cstheme="minorBidi"/>
      <w:kern w:val="2"/>
      <w:sz w:val="32"/>
      <w:szCs w:val="22"/>
      <w:lang w:val="en-US" w:eastAsia="zh-CN" w:bidi="ar-SA"/>
    </w:rPr>
  </w:style>
  <w:style w:type="paragraph" w:styleId="2">
    <w:name w:val="heading 1"/>
    <w:basedOn w:val="1"/>
    <w:next w:val="1"/>
    <w:link w:val="17"/>
    <w:qFormat/>
    <w:uiPriority w:val="9"/>
    <w:pPr>
      <w:keepNext/>
      <w:keepLines/>
      <w:ind w:firstLine="0" w:firstLineChars="0"/>
      <w:outlineLvl w:val="0"/>
    </w:pPr>
    <w:rPr>
      <w:rFonts w:eastAsia="黑体" w:asciiTheme="majorHAnsi" w:hAnsiTheme="majorHAnsi" w:cstheme="majorBidi"/>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pPr>
    <w:rPr>
      <w:sz w:val="18"/>
      <w:szCs w:val="18"/>
    </w:rPr>
  </w:style>
  <w:style w:type="paragraph" w:styleId="12">
    <w:name w:val="header"/>
    <w:basedOn w:val="1"/>
    <w:link w:val="35"/>
    <w:unhideWhenUsed/>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700" w:lineRule="exact"/>
      <w:ind w:left="100" w:leftChars="100" w:right="100" w:rightChars="100"/>
      <w:contextualSpacing/>
      <w:jc w:val="center"/>
    </w:pPr>
    <w:rPr>
      <w:rFonts w:eastAsia="方正小标宋简体" w:asciiTheme="majorHAnsi" w:hAnsiTheme="majorHAnsi" w:cstheme="majorBidi"/>
      <w:spacing w:val="-10"/>
      <w:kern w:val="28"/>
      <w:sz w:val="44"/>
      <w:szCs w:val="56"/>
    </w:rPr>
  </w:style>
  <w:style w:type="character" w:customStyle="1" w:styleId="17">
    <w:name w:val="标题 1 字符"/>
    <w:basedOn w:val="16"/>
    <w:link w:val="2"/>
    <w:uiPriority w:val="9"/>
    <w:rPr>
      <w:rFonts w:eastAsia="黑体" w:asciiTheme="majorHAnsi" w:hAnsiTheme="majorHAnsi" w:cstheme="majorBidi"/>
      <w:sz w:val="32"/>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eastAsia="方正小标宋简体" w:asciiTheme="majorHAnsi" w:hAnsiTheme="majorHAnsi" w:cstheme="majorBidi"/>
      <w:spacing w:val="-10"/>
      <w:kern w:val="28"/>
      <w:sz w:val="44"/>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294</Words>
  <Characters>294</Characters>
  <Lines>2</Lines>
  <Paragraphs>1</Paragraphs>
  <TotalTime>2</TotalTime>
  <ScaleCrop>false</ScaleCrop>
  <LinksUpToDate>false</LinksUpToDate>
  <CharactersWithSpaces>294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2026-03-11T14:47:00Z</dcterms:created>
  <dc:creator>mz d</dc:creator>
  <cp:lastModifiedBy>dmz</cp:lastModifiedBy>
  <dcterms:modified xsi:type="dcterms:W3CDTF">2026-03-12T02:35:23Z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eyJoZGlkIjoiMjkzZTVmM2ZhY2ViYzBlNTQwMTBjMjY4N2VhZmQ2YmQiLCJ1c2VySWQiOiIyMzM0MjYzNjEifQ==</vt:lpwstr>
  </property>
  <property fmtid="{D5CDD505-2E9C-101B-9397-08002B2CF9AE}" pid="3" name="KSOProductBuildVer">
    <vt:lpwstr>2052-12.1.0.25225</vt:lpwstr>
  </property>
  <property fmtid="{D5CDD505-2E9C-101B-9397-08002B2CF9AE}" pid="4" name="ICV">
    <vt:lpwstr>CA326E239EEC42EFBE331D6E7135787B_12</vt:lpwstr>
  </property>
</Properties>
</file>