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Índice</w:t>
      </w:r>
      <w:r>
        <w:t xml:space="preserve"> </w:t>
      </w:r>
      <w:r>
        <w:t xml:space="preserve">Global</w:t>
      </w:r>
      <w:r>
        <w:t xml:space="preserve"> </w:t>
      </w:r>
      <w:r>
        <w:t xml:space="preserve">de</w:t>
      </w:r>
      <w:r>
        <w:t xml:space="preserve"> </w:t>
      </w:r>
      <w:r>
        <w:t xml:space="preserve">Desenvolvimento</w:t>
      </w:r>
      <w:r>
        <w:t xml:space="preserve"> </w:t>
      </w:r>
      <w:r>
        <w:t xml:space="preserve">de</w:t>
      </w:r>
      <w:r>
        <w:t xml:space="preserve"> </w:t>
      </w:r>
      <w:r>
        <w:t xml:space="preserve">Angola</w:t>
      </w:r>
      <w:r>
        <w:t xml:space="preserve"> </w:t>
      </w:r>
      <w:r>
        <w:t xml:space="preserve">—</w:t>
      </w:r>
      <w:r>
        <w:t xml:space="preserve"> </w:t>
      </w:r>
      <w:r>
        <w:t xml:space="preserve">IGDA-BDA</w:t>
      </w:r>
    </w:p>
    <w:p>
      <w:pPr>
        <w:pStyle w:val="Subtitle"/>
      </w:pPr>
      <w:r>
        <w:t xml:space="preserve">Nota</w:t>
      </w:r>
      <w:r>
        <w:t xml:space="preserve"> </w:t>
      </w:r>
      <w:r>
        <w:t xml:space="preserve">Metodológica</w:t>
      </w:r>
      <w:r>
        <w:t xml:space="preserve"> </w:t>
      </w:r>
      <w:r>
        <w:t xml:space="preserve">(v7)</w:t>
      </w:r>
      <w:r>
        <w:t xml:space="preserve"> </w:t>
      </w:r>
      <w:r>
        <w:t xml:space="preserve">·</w:t>
      </w:r>
      <w:r>
        <w:t xml:space="preserve"> </w:t>
      </w:r>
      <w:r>
        <w:t xml:space="preserve">Selecção</w:t>
      </w:r>
      <w:r>
        <w:t xml:space="preserve"> </w:t>
      </w:r>
      <w:r>
        <w:t xml:space="preserve">Final</w:t>
      </w:r>
      <w:r>
        <w:t xml:space="preserve"> </w:t>
      </w:r>
      <w:r>
        <w:t xml:space="preserve">·</w:t>
      </w:r>
      <w:r>
        <w:t xml:space="preserve"> </w:t>
      </w:r>
      <w:r>
        <w:t xml:space="preserve">2015–2025</w:t>
      </w:r>
      <w:r>
        <w:t xml:space="preserve"> </w:t>
      </w:r>
      <w:r>
        <w:t xml:space="preserve">·</w:t>
      </w:r>
      <w:r>
        <w:t xml:space="preserve"> </w:t>
      </w:r>
      <w:r>
        <w:t xml:space="preserve">8</w:t>
      </w:r>
      <w:r>
        <w:t xml:space="preserve"> </w:t>
      </w:r>
      <w:r>
        <w:t xml:space="preserve">dimensões</w:t>
      </w:r>
      <w:r>
        <w:t xml:space="preserve"> </w:t>
      </w:r>
      <w:r>
        <w:t xml:space="preserve">activas</w:t>
      </w:r>
      <w:r>
        <w:t xml:space="preserve"> </w:t>
      </w:r>
      <w:r>
        <w:t xml:space="preserve">(de</w:t>
      </w:r>
      <w:r>
        <w:t xml:space="preserve"> </w:t>
      </w:r>
      <w:r>
        <w:t xml:space="preserve">11)</w:t>
      </w:r>
      <w:r>
        <w:t xml:space="preserve"> </w:t>
      </w:r>
      <w:r>
        <w:t xml:space="preserve">·</w:t>
      </w:r>
      <w:r>
        <w:t xml:space="preserve"> </w:t>
      </w:r>
      <w:r>
        <w:t xml:space="preserve">41</w:t>
      </w:r>
      <w:r>
        <w:t xml:space="preserve"> </w:t>
      </w:r>
      <w:r>
        <w:t xml:space="preserve">indicadores</w:t>
      </w:r>
    </w:p>
    <w:p>
      <w:pPr>
        <w:pStyle w:val="Author"/>
      </w:pPr>
      <w:r>
        <w:t xml:space="preserve">Banco</w:t>
      </w:r>
      <w:r>
        <w:t xml:space="preserve"> </w:t>
      </w:r>
      <w:r>
        <w:t xml:space="preserve">de</w:t>
      </w:r>
      <w:r>
        <w:t xml:space="preserve"> </w:t>
      </w:r>
      <w:r>
        <w:t xml:space="preserve">Desenvolvimento</w:t>
      </w:r>
      <w:r>
        <w:t xml:space="preserve"> </w:t>
      </w:r>
      <w:r>
        <w:t xml:space="preserve">de</w:t>
      </w:r>
      <w:r>
        <w:t xml:space="preserve"> </w:t>
      </w:r>
      <w:r>
        <w:t xml:space="preserve">Angola</w:t>
      </w:r>
      <w:r>
        <w:t xml:space="preserve"> </w:t>
      </w:r>
      <w:r>
        <w:t xml:space="preserve">·</w:t>
      </w:r>
      <w:r>
        <w:t xml:space="preserve"> </w:t>
      </w:r>
      <w:r>
        <w:t xml:space="preserve">Gabinete</w:t>
      </w:r>
      <w:r>
        <w:t xml:space="preserve"> </w:t>
      </w:r>
      <w:r>
        <w:t xml:space="preserve">de</w:t>
      </w:r>
      <w:r>
        <w:t xml:space="preserve"> </w:t>
      </w:r>
      <w:r>
        <w:t xml:space="preserve">Planeamento</w:t>
      </w:r>
      <w:r>
        <w:t xml:space="preserve"> </w:t>
      </w:r>
      <w:r>
        <w:t xml:space="preserve">e</w:t>
      </w:r>
      <w:r>
        <w:t xml:space="preserve"> </w:t>
      </w:r>
      <w:r>
        <w:t xml:space="preserve">Controlo</w:t>
      </w:r>
    </w:p>
    <w:p>
      <w:pPr>
        <w:pStyle w:val="Date"/>
      </w:pPr>
      <w:r>
        <w:t xml:space="preserve">Agosto</w:t>
      </w:r>
      <w:r>
        <w:t xml:space="preserve"> </w:t>
      </w:r>
      <w:r>
        <w:t xml:space="preserve">de</w:t>
      </w:r>
      <w:r>
        <w:t xml:space="preserve"> </w:t>
      </w:r>
      <w:r>
        <w:t xml:space="preserve">2026</w:t>
      </w:r>
    </w:p>
    <w:sdt>
      <w:sdtPr>
        <w:docPartObj>
          <w:docPartGallery w:val="Table of Contents"/>
          <w:docPartUnique/>
        </w:docPartObj>
      </w:sdtPr>
      <w:sdtContent>
        <w:p>
          <w:pPr>
            <w:pStyle w:val="TOCHeading"/>
          </w:pPr>
          <w:r>
            <w:t xml:space="preserve">Índice</w:t>
          </w:r>
        </w:p>
        <w:p>
          <w:r>
            <w:fldChar w:fldCharType="begin" w:dirty="true"/>
            <w:instrText xml:space="preserve">TOC \o "1-2" \h \z \u</w:instrText>
            <w:fldChar w:fldCharType="separate"/>
            <w:fldChar w:fldCharType="end"/>
          </w:r>
        </w:p>
      </w:sdtContent>
    </w:sdt>
    <w:bookmarkStart w:id="24" w:name="introdução-e-objectivo"/>
    <w:p>
      <w:pPr>
        <w:pStyle w:val="Heading1"/>
      </w:pPr>
      <w:r>
        <w:t xml:space="preserve">1. Introdução e objectivo</w:t>
      </w:r>
    </w:p>
    <w:bookmarkStart w:id="20" w:name="propósito-do-índice"/>
    <w:p>
      <w:pPr>
        <w:pStyle w:val="Heading2"/>
      </w:pPr>
      <w:r>
        <w:t xml:space="preserve">1.1 Propósito do índice</w:t>
      </w:r>
    </w:p>
    <w:p>
      <w:pPr>
        <w:pStyle w:val="FirstParagraph"/>
      </w:pPr>
      <w:r>
        <w:t xml:space="preserve">O Índice Global de Desenvolvimento de Angola (IGDA-BDA) é uma medida compósita que sintetiza, num único valor anual numa escala de 0 a 100, o estado multidimensional do desenvolvimento do país. Foi concebido para apoiar a função de estudos e planeamento do Banco de Desenvolvimento de Angola, oferecendo um instrumento de leitura rápida da trajectória de desenvolvimento, de comparação entre dimensões e de fundamentação de decisões de afectação de recursos e de avaliação de políticas.</w:t>
      </w:r>
    </w:p>
    <w:p>
      <w:pPr>
        <w:pStyle w:val="BodyText"/>
      </w:pPr>
      <w:r>
        <w:t xml:space="preserve">O índice não substitui a análise sectorial detalhada; o seu valor está em integrar, de forma transparente e replicável, informação dispersa por dezenas de fontes e indicadores num quadro coerente, permitindo distinguir onde o progresso é robusto e onde persistem défices estruturais.</w:t>
      </w:r>
    </w:p>
    <w:bookmarkEnd w:id="20"/>
    <w:bookmarkStart w:id="21" w:name="âmbito-e-cobertura"/>
    <w:p>
      <w:pPr>
        <w:pStyle w:val="Heading2"/>
      </w:pPr>
      <w:r>
        <w:t xml:space="preserve">1.2 Âmbito e cobertura</w:t>
      </w:r>
    </w:p>
    <w:p>
      <w:pPr>
        <w:pStyle w:val="FirstParagraph"/>
      </w:pPr>
      <w:r>
        <w:t xml:space="preserve">A unidade de análise é Angola no seu conjunto. A cobertura temporal abrange o período de 2015 a 2025, com periodicidade anual. O ano de 2025 constitui o ano de referência (headline), embora deva ser lido como provisório pelas razões expostas na Secção 9. O índice é composto por oito dimensões activas — de um total de onze definidas — e por quarenta e um indicadores, resultantes de uma selecção automática por ranking dentro de cada dimensão, complementada por uma curadoria de não-redundância.</w:t>
      </w:r>
    </w:p>
    <w:bookmarkEnd w:id="21"/>
    <w:bookmarkStart w:id="22" w:name="enquadramento-metodológico"/>
    <w:p>
      <w:pPr>
        <w:pStyle w:val="Heading2"/>
      </w:pPr>
      <w:r>
        <w:t xml:space="preserve">1.3 Enquadramento metodológico</w:t>
      </w:r>
    </w:p>
    <w:p>
      <w:pPr>
        <w:pStyle w:val="FirstParagraph"/>
      </w:pPr>
      <w:r>
        <w:t xml:space="preserve">A construção segue as melhores práticas internacionais para índices compósitos, em particular o quadro de dez passos do Handbook on Constructing Composite Indicators da OCDE e do Joint Research Centre da Comissão Europeia (OCDE/JRC, 2008). Esse quadro estrutura o processo desde a definição de um enquadramento teórico, passando pela selecção e tratamento de dados, normalização, ponderação e agregação, até à análise de robustez e à comunicação dos resultados.</w:t>
      </w:r>
    </w:p>
    <w:p>
      <w:pPr>
        <w:pStyle w:val="BodyText"/>
      </w:pPr>
      <w:r>
        <w:t xml:space="preserve">Os dez passos são:</w:t>
      </w:r>
      <w:r>
        <w:t xml:space="preserve"> </w:t>
      </w:r>
      <w:r>
        <w:rPr>
          <w:bCs/>
          <w:b/>
        </w:rPr>
        <w:t xml:space="preserve">(1)</w:t>
      </w:r>
      <w:r>
        <w:rPr>
          <w:bCs/>
          <w:b/>
        </w:rPr>
        <w:t xml:space="preserve"> </w:t>
      </w:r>
      <w:r>
        <w:t xml:space="preserve">quadro teórico;</w:t>
      </w:r>
      <w:r>
        <w:t xml:space="preserve"> </w:t>
      </w:r>
      <w:r>
        <w:rPr>
          <w:bCs/>
          <w:b/>
        </w:rPr>
        <w:t xml:space="preserve">(2)</w:t>
      </w:r>
      <w:r>
        <w:rPr>
          <w:bCs/>
          <w:b/>
        </w:rPr>
        <w:t xml:space="preserve"> </w:t>
      </w:r>
      <w:r>
        <w:t xml:space="preserve">selecção de dados;</w:t>
      </w:r>
      <w:r>
        <w:t xml:space="preserve"> </w:t>
      </w:r>
      <w:r>
        <w:rPr>
          <w:bCs/>
          <w:b/>
        </w:rPr>
        <w:t xml:space="preserve">(3)</w:t>
      </w:r>
      <w:r>
        <w:rPr>
          <w:bCs/>
          <w:b/>
        </w:rPr>
        <w:t xml:space="preserve"> </w:t>
      </w:r>
      <w:r>
        <w:t xml:space="preserve">tratamento de dados em falta;</w:t>
      </w:r>
      <w:r>
        <w:t xml:space="preserve"> </w:t>
      </w:r>
      <w:r>
        <w:rPr>
          <w:bCs/>
          <w:b/>
        </w:rPr>
        <w:t xml:space="preserve">(4)</w:t>
      </w:r>
      <w:r>
        <w:rPr>
          <w:bCs/>
          <w:b/>
        </w:rPr>
        <w:t xml:space="preserve"> </w:t>
      </w:r>
      <w:r>
        <w:t xml:space="preserve">análise multivariada;</w:t>
      </w:r>
      <w:r>
        <w:t xml:space="preserve"> </w:t>
      </w:r>
      <w:r>
        <w:rPr>
          <w:bCs/>
          <w:b/>
        </w:rPr>
        <w:t xml:space="preserve">(5)</w:t>
      </w:r>
      <w:r>
        <w:rPr>
          <w:bCs/>
          <w:b/>
        </w:rPr>
        <w:t xml:space="preserve"> </w:t>
      </w:r>
      <w:r>
        <w:t xml:space="preserve">normalização;</w:t>
      </w:r>
      <w:r>
        <w:t xml:space="preserve"> </w:t>
      </w:r>
      <w:r>
        <w:rPr>
          <w:bCs/>
          <w:b/>
        </w:rPr>
        <w:t xml:space="preserve">(6)</w:t>
      </w:r>
      <w:r>
        <w:rPr>
          <w:bCs/>
          <w:b/>
        </w:rPr>
        <w:t xml:space="preserve"> </w:t>
      </w:r>
      <w:r>
        <w:t xml:space="preserve">ponderação e agregação;</w:t>
      </w:r>
      <w:r>
        <w:t xml:space="preserve"> </w:t>
      </w:r>
      <w:r>
        <w:rPr>
          <w:bCs/>
          <w:b/>
        </w:rPr>
        <w:t xml:space="preserve">(7)</w:t>
      </w:r>
      <w:r>
        <w:rPr>
          <w:bCs/>
          <w:b/>
        </w:rPr>
        <w:t xml:space="preserve"> </w:t>
      </w:r>
      <w:r>
        <w:t xml:space="preserve">análise de incerteza e sensibilidade;</w:t>
      </w:r>
      <w:r>
        <w:t xml:space="preserve"> </w:t>
      </w:r>
      <w:r>
        <w:rPr>
          <w:bCs/>
          <w:b/>
        </w:rPr>
        <w:t xml:space="preserve">(8)</w:t>
      </w:r>
      <w:r>
        <w:rPr>
          <w:bCs/>
          <w:b/>
        </w:rPr>
        <w:t xml:space="preserve"> </w:t>
      </w:r>
      <w:r>
        <w:t xml:space="preserve">regresso aos dados (desconstrução);</w:t>
      </w:r>
      <w:r>
        <w:t xml:space="preserve"> </w:t>
      </w:r>
      <w:r>
        <w:rPr>
          <w:bCs/>
          <w:b/>
        </w:rPr>
        <w:t xml:space="preserve">(9)</w:t>
      </w:r>
      <w:r>
        <w:rPr>
          <w:bCs/>
          <w:b/>
        </w:rPr>
        <w:t xml:space="preserve"> </w:t>
      </w:r>
      <w:r>
        <w:t xml:space="preserve">ligação a outros indicadores; e</w:t>
      </w:r>
      <w:r>
        <w:t xml:space="preserve"> </w:t>
      </w:r>
      <w:r>
        <w:rPr>
          <w:bCs/>
          <w:b/>
        </w:rPr>
        <w:t xml:space="preserve">(10)</w:t>
      </w:r>
      <w:r>
        <w:rPr>
          <w:bCs/>
          <w:b/>
        </w:rPr>
        <w:t xml:space="preserve"> </w:t>
      </w:r>
      <w:r>
        <w:t xml:space="preserve">visualização e comunicação. As secções seguintes mapeiam directamente estes passos.</w:t>
      </w:r>
    </w:p>
    <w:bookmarkEnd w:id="22"/>
    <w:bookmarkStart w:id="23" w:name="organização-do-documento"/>
    <w:p>
      <w:pPr>
        <w:pStyle w:val="Heading2"/>
      </w:pPr>
      <w:r>
        <w:t xml:space="preserve">1.4 Organização do documento</w:t>
      </w:r>
    </w:p>
    <w:p>
      <w:pPr>
        <w:pStyle w:val="FirstParagraph"/>
      </w:pPr>
      <w:r>
        <w:t xml:space="preserve">A Secção 2 estabelece o quadro conceptual e a arquitectura do índice. A Secção 3 descreve a base de dados e as fontes. A Secção 4 detalha o processo de selecção de indicadores. As Secções 5 a 7 cobrem, respectivamente, o tratamento de dados em falta, a normalização e a agregação. A Secção 8 descreve a configuração final do índice. As Secções 9 e 10 tratam dos pressupostos e limitações e da interpretação dos resultados. A Secção 11 lista recomendações de desenvolvimento futuro e a Secção 12 descreve a implementação técnica. Os Anexos apresentam a estrutura completa dos quarenta e um indicadores e a lista de fontes e siglas.</w:t>
      </w:r>
    </w:p>
    <w:bookmarkEnd w:id="23"/>
    <w:bookmarkEnd w:id="24"/>
    <w:bookmarkStart w:id="29" w:name="quadro-conceptual"/>
    <w:p>
      <w:pPr>
        <w:pStyle w:val="Heading1"/>
      </w:pPr>
      <w:r>
        <w:t xml:space="preserve">2. Quadro conceptual</w:t>
      </w:r>
    </w:p>
    <w:bookmarkStart w:id="25" w:name="conceito-de-desenvolvimento-adoptado"/>
    <w:p>
      <w:pPr>
        <w:pStyle w:val="Heading2"/>
      </w:pPr>
      <w:r>
        <w:t xml:space="preserve">2.1 Conceito de desenvolvimento adoptado</w:t>
      </w:r>
    </w:p>
    <w:p>
      <w:pPr>
        <w:pStyle w:val="FirstParagraph"/>
      </w:pPr>
      <w:r>
        <w:t xml:space="preserve">O IGDA-BDA adopta uma concepção multidimensional de desenvolvimento, alinhada com a tradição do desenvolvimento humano e com a agenda dos Objectivos de Desenvolvimento Sustentável. O desenvolvimento não é reduzido ao rendimento por habitante; é entendido como a expansão simultânea das capacidades económicas, sociais, institucionais e ambientais que sustentam o bem-estar da população de forma duradoura. Esta opção determina a escolha das dimensões e a recusa de qualquer indicador único como medida-resumo.</w:t>
      </w:r>
    </w:p>
    <w:bookmarkEnd w:id="25"/>
    <w:bookmarkStart w:id="26" w:name="arquitectura-hierárquica"/>
    <w:p>
      <w:pPr>
        <w:pStyle w:val="Heading2"/>
      </w:pPr>
      <w:r>
        <w:t xml:space="preserve">2.2 Arquitectura hierárquica</w:t>
      </w:r>
    </w:p>
    <w:p>
      <w:pPr>
        <w:pStyle w:val="FirstParagraph"/>
      </w:pPr>
      <w:r>
        <w:t xml:space="preserve">O índice está organizado em três níveis. No nível inferior estão os indicadores individuais, cada um proveniente de uma fonte e expresso na sua unidade própria. No nível intermédio, os indicadores agrupam-se em dimensões temáticas, das quais resulta um subíndice por dimensão. No nível superior, os subíndices dimensionais combinam-se no índice global, o IGDA. Esta estrutura espelha a do Índice de Desenvolvimento Humano e tem a vantagem de tornar legível o contributo de cada dimensão para o resultado agregado.</w:t>
      </w:r>
    </w:p>
    <w:bookmarkEnd w:id="26"/>
    <w:bookmarkStart w:id="27" w:name="as-dimensões-do-índice"/>
    <w:p>
      <w:pPr>
        <w:pStyle w:val="Heading2"/>
      </w:pPr>
      <w:r>
        <w:t xml:space="preserve">2.3 As dimensões do índice</w:t>
      </w:r>
    </w:p>
    <w:p>
      <w:pPr>
        <w:pStyle w:val="FirstParagraph"/>
      </w:pPr>
      <w:r>
        <w:t xml:space="preserve">A versão actual define onze dimensões. Nesta versão do índice estão activas oito delas, que reúnem os quarenta e um indicadores seleccionados; as três restantes — Ambiente, Clima e Resiliência; Demografia, Território e Urbanização; e Transformação Digital e Inovação — estão definidas mas inactivas, por não terem, nesta versão, indicadores seleccionados que cumpram os critérios. As dimensões são:</w:t>
      </w:r>
    </w:p>
    <w:p>
      <w:pPr>
        <w:numPr>
          <w:ilvl w:val="0"/>
          <w:numId w:val="1001"/>
        </w:numPr>
      </w:pPr>
      <w:r>
        <w:rPr>
          <w:bCs/>
          <w:b/>
        </w:rPr>
        <w:t xml:space="preserve">Governança e Estado de Direito (activa) —</w:t>
      </w:r>
      <w:r>
        <w:rPr>
          <w:bCs/>
          <w:b/>
        </w:rPr>
        <w:t xml:space="preserve"> </w:t>
      </w:r>
      <w:r>
        <w:t xml:space="preserve">percepção da corrupção (Transparency International) e quatro indicadores de governança do Banco Mundial (estabilidade política, Estado de direito, eficiência do governo e qualidade regulatória).</w:t>
      </w:r>
    </w:p>
    <w:p>
      <w:pPr>
        <w:numPr>
          <w:ilvl w:val="0"/>
          <w:numId w:val="1001"/>
        </w:numPr>
      </w:pPr>
      <w:r>
        <w:rPr>
          <w:bCs/>
          <w:b/>
        </w:rPr>
        <w:t xml:space="preserve">Estabilidade Macroeconómica (activa) —</w:t>
      </w:r>
      <w:r>
        <w:rPr>
          <w:bCs/>
          <w:b/>
        </w:rPr>
        <w:t xml:space="preserve"> </w:t>
      </w:r>
      <w:r>
        <w:t xml:space="preserve">crescimento do PIB total e não petrolífero, rendimento por habitante, inflação, saldo orçamental, dívida pública e reservas internacionais.</w:t>
      </w:r>
    </w:p>
    <w:p>
      <w:pPr>
        <w:numPr>
          <w:ilvl w:val="0"/>
          <w:numId w:val="1001"/>
        </w:numPr>
      </w:pPr>
      <w:r>
        <w:rPr>
          <w:bCs/>
          <w:b/>
        </w:rPr>
        <w:t xml:space="preserve">Capital Humano (activa) —</w:t>
      </w:r>
      <w:r>
        <w:rPr>
          <w:bCs/>
          <w:b/>
        </w:rPr>
        <w:t xml:space="preserve"> </w:t>
      </w:r>
      <w:r>
        <w:t xml:space="preserve">esperança de vida, mortalidade infantil, escolaridade obrigatória e despesa pública em educação.</w:t>
      </w:r>
    </w:p>
    <w:p>
      <w:pPr>
        <w:numPr>
          <w:ilvl w:val="0"/>
          <w:numId w:val="1001"/>
        </w:numPr>
      </w:pPr>
      <w:r>
        <w:rPr>
          <w:bCs/>
          <w:b/>
        </w:rPr>
        <w:t xml:space="preserve">Inclusão Social e Protecção (activa) —</w:t>
      </w:r>
      <w:r>
        <w:rPr>
          <w:bCs/>
          <w:b/>
        </w:rPr>
        <w:t xml:space="preserve"> </w:t>
      </w:r>
      <w:r>
        <w:t xml:space="preserve">rendimento nacional bruto por habitante, disparidade de género (Global Gender Gap) e representação das mulheres no parlamento.</w:t>
      </w:r>
    </w:p>
    <w:p>
      <w:pPr>
        <w:numPr>
          <w:ilvl w:val="0"/>
          <w:numId w:val="1001"/>
        </w:numPr>
      </w:pPr>
      <w:r>
        <w:rPr>
          <w:bCs/>
          <w:b/>
        </w:rPr>
        <w:t xml:space="preserve">Infraestruturas e Serviços (activa) —</w:t>
      </w:r>
      <w:r>
        <w:rPr>
          <w:bCs/>
          <w:b/>
        </w:rPr>
        <w:t xml:space="preserve"> </w:t>
      </w:r>
      <w:r>
        <w:t xml:space="preserve">acesso a água potável, densidade rodoviária, electrificação, energia limpa para cozinhar e tráfego portuário de contentores.</w:t>
      </w:r>
    </w:p>
    <w:p>
      <w:pPr>
        <w:numPr>
          <w:ilvl w:val="0"/>
          <w:numId w:val="1001"/>
        </w:numPr>
      </w:pPr>
      <w:r>
        <w:rPr>
          <w:bCs/>
          <w:b/>
        </w:rPr>
        <w:t xml:space="preserve">Mercado de Trabalho (activa) —</w:t>
      </w:r>
      <w:r>
        <w:rPr>
          <w:bCs/>
          <w:b/>
        </w:rPr>
        <w:t xml:space="preserve"> </w:t>
      </w:r>
      <w:r>
        <w:t xml:space="preserve">emprego, desemprego total e juvenil, participação feminina na força de trabalho e produtividade do trabalho.</w:t>
      </w:r>
    </w:p>
    <w:p>
      <w:pPr>
        <w:numPr>
          <w:ilvl w:val="0"/>
          <w:numId w:val="1001"/>
        </w:numPr>
      </w:pPr>
      <w:r>
        <w:rPr>
          <w:bCs/>
          <w:b/>
        </w:rPr>
        <w:t xml:space="preserve">Segurança Alimentar e Saúde (activa) —</w:t>
      </w:r>
      <w:r>
        <w:rPr>
          <w:bCs/>
          <w:b/>
        </w:rPr>
        <w:t xml:space="preserve"> </w:t>
      </w:r>
      <w:r>
        <w:t xml:space="preserve">mortalidade materna e de menores de cinco anos, cobertura vacinal, desnutrição, incidência de malária, despesa em saúde e despesa directa das famílias.</w:t>
      </w:r>
    </w:p>
    <w:p>
      <w:pPr>
        <w:numPr>
          <w:ilvl w:val="0"/>
          <w:numId w:val="1001"/>
        </w:numPr>
      </w:pPr>
      <w:r>
        <w:rPr>
          <w:bCs/>
          <w:b/>
        </w:rPr>
        <w:t xml:space="preserve">Diversificação Produtiva e Setor Privado (activa) —</w:t>
      </w:r>
      <w:r>
        <w:rPr>
          <w:bCs/>
          <w:b/>
        </w:rPr>
        <w:t xml:space="preserve"> </w:t>
      </w:r>
      <w:r>
        <w:t xml:space="preserve">o crescimento do PIB não petrolífero, o índice de capacidades produtivas da UNCTAD, a indústria transformadora no PIB, o peso dos combustíveis nas exportações e o crédito ao sector privado.</w:t>
      </w:r>
    </w:p>
    <w:p>
      <w:pPr>
        <w:numPr>
          <w:ilvl w:val="0"/>
          <w:numId w:val="1001"/>
        </w:numPr>
      </w:pPr>
      <w:r>
        <w:rPr>
          <w:bCs/>
          <w:b/>
        </w:rPr>
        <w:t xml:space="preserve">Ambiente, Clima e Resiliência (inactiva) —</w:t>
      </w:r>
      <w:r>
        <w:rPr>
          <w:bCs/>
          <w:b/>
        </w:rPr>
        <w:t xml:space="preserve"> </w:t>
      </w:r>
      <w:r>
        <w:t xml:space="preserve">dimensão definida mas sem indicadores seleccionados nesta entrega.</w:t>
      </w:r>
    </w:p>
    <w:p>
      <w:pPr>
        <w:numPr>
          <w:ilvl w:val="0"/>
          <w:numId w:val="1001"/>
        </w:numPr>
      </w:pPr>
      <w:r>
        <w:rPr>
          <w:bCs/>
          <w:b/>
        </w:rPr>
        <w:t xml:space="preserve">Demografia, Território e Urbanização (inactiva) —</w:t>
      </w:r>
      <w:r>
        <w:rPr>
          <w:bCs/>
          <w:b/>
        </w:rPr>
        <w:t xml:space="preserve"> </w:t>
      </w:r>
      <w:r>
        <w:t xml:space="preserve">dimensão definida mas sem indicadores seleccionados nesta entrega.</w:t>
      </w:r>
    </w:p>
    <w:p>
      <w:pPr>
        <w:numPr>
          <w:ilvl w:val="0"/>
          <w:numId w:val="1001"/>
        </w:numPr>
      </w:pPr>
      <w:r>
        <w:rPr>
          <w:bCs/>
          <w:b/>
        </w:rPr>
        <w:t xml:space="preserve">Transformação Digital e Inovação (inactiva) —</w:t>
      </w:r>
      <w:r>
        <w:rPr>
          <w:bCs/>
          <w:b/>
        </w:rPr>
        <w:t xml:space="preserve"> </w:t>
      </w:r>
      <w:r>
        <w:t xml:space="preserve">dimensão definida mas sem indicadores seleccionados nesta entrega.</w:t>
      </w:r>
    </w:p>
    <w:p>
      <w:pPr>
        <w:pStyle w:val="FirstParagraph"/>
      </w:pPr>
      <w:r>
        <w:t xml:space="preserve">A composição de cada dimensão activa, indicador a indicador, consta do Anexo A. A Secção 8 descreve a configuração final do índice.</w:t>
      </w:r>
    </w:p>
    <w:bookmarkEnd w:id="27"/>
    <w:bookmarkStart w:id="28" w:name="princípios-de-desenho"/>
    <w:p>
      <w:pPr>
        <w:pStyle w:val="Heading2"/>
      </w:pPr>
      <w:r>
        <w:t xml:space="preserve">2.4 Princípios de desenho</w:t>
      </w:r>
    </w:p>
    <w:p>
      <w:pPr>
        <w:pStyle w:val="FirstParagraph"/>
      </w:pPr>
      <w:r>
        <w:t xml:space="preserve">Três princípios orientaram o desenho e a calibração do índice:</w:t>
      </w:r>
    </w:p>
    <w:p>
      <w:pPr>
        <w:numPr>
          <w:ilvl w:val="0"/>
          <w:numId w:val="1002"/>
        </w:numPr>
      </w:pPr>
      <w:r>
        <w:rPr>
          <w:bCs/>
          <w:b/>
        </w:rPr>
        <w:t xml:space="preserve">Parcimónia.</w:t>
      </w:r>
      <w:r>
        <w:rPr>
          <w:bCs/>
          <w:b/>
        </w:rPr>
        <w:t xml:space="preserve"> </w:t>
      </w:r>
      <w:r>
        <w:t xml:space="preserve">Cada dimensão deve conter o número mínimo de indicadores necessário para representar o conceito, evitando inflar a estrutura com variáveis marginais que apenas adicionam ruído.</w:t>
      </w:r>
    </w:p>
    <w:p>
      <w:pPr>
        <w:numPr>
          <w:ilvl w:val="0"/>
          <w:numId w:val="1002"/>
        </w:numPr>
      </w:pPr>
      <w:r>
        <w:rPr>
          <w:bCs/>
          <w:b/>
        </w:rPr>
        <w:t xml:space="preserve">Não-redundância.</w:t>
      </w:r>
      <w:r>
        <w:rPr>
          <w:bCs/>
          <w:b/>
        </w:rPr>
        <w:t xml:space="preserve"> </w:t>
      </w:r>
      <w:r>
        <w:t xml:space="preserve">Conceitos sobrepostos ou indicadores fortemente correlacionados não devem entrar em duplicado, sob pena de sobreponderar implicitamente esses conceitos. A selecção final respeita este princípio, evitando a dupla contagem de conceitos (Secção 8).</w:t>
      </w:r>
    </w:p>
    <w:p>
      <w:pPr>
        <w:numPr>
          <w:ilvl w:val="0"/>
          <w:numId w:val="1002"/>
        </w:numPr>
      </w:pPr>
      <w:r>
        <w:rPr>
          <w:bCs/>
          <w:b/>
        </w:rPr>
        <w:t xml:space="preserve">Transparência.</w:t>
      </w:r>
      <w:r>
        <w:rPr>
          <w:bCs/>
          <w:b/>
        </w:rPr>
        <w:t xml:space="preserve"> </w:t>
      </w:r>
      <w:r>
        <w:t xml:space="preserve">As regras de selecção, normalização e agregação devem ser explícitas, reproduzíveis e auditáveis, privilegiando opções simples e defensáveis em detrimento de esquemas estatísticos opacos.</w:t>
      </w:r>
    </w:p>
    <w:bookmarkEnd w:id="28"/>
    <w:bookmarkEnd w:id="29"/>
    <w:bookmarkStart w:id="34" w:name="base-de-dados-e-fontes"/>
    <w:p>
      <w:pPr>
        <w:pStyle w:val="Heading1"/>
      </w:pPr>
      <w:r>
        <w:t xml:space="preserve">3. Base de dados e fontes</w:t>
      </w:r>
    </w:p>
    <w:bookmarkStart w:id="30" w:name="catálogo-de-indicadores-potenciais"/>
    <w:p>
      <w:pPr>
        <w:pStyle w:val="Heading2"/>
      </w:pPr>
      <w:r>
        <w:t xml:space="preserve">3.1 Catálogo de indicadores potenciais</w:t>
      </w:r>
    </w:p>
    <w:p>
      <w:pPr>
        <w:pStyle w:val="FirstParagraph"/>
      </w:pPr>
      <w:r>
        <w:t xml:space="preserve">A construção parte de um catálogo abrangente de 331 indicadores candidatos, organizados por dimensão e mantido na base potencial do construtor. Para cada candidato, o catálogo regista a unidade de medida, o sentido (se valores mais altos representam melhor ou pior desempenho), as fronteiras de normalização, a fonte, um marcador de fonte nacional, o grupo temático para controlo de duplicação, a série anual de 2015 a 2025, a cobertura observada e o último ano com dados. É a partir deste catálogo que o motor de selecção escolhe, de forma automática e recalculável, os indicadores que entram no índice.</w:t>
      </w:r>
    </w:p>
    <w:bookmarkEnd w:id="30"/>
    <w:bookmarkStart w:id="31" w:name="fontes"/>
    <w:p>
      <w:pPr>
        <w:pStyle w:val="Heading2"/>
      </w:pPr>
      <w:r>
        <w:t xml:space="preserve">3.2 Fontes</w:t>
      </w:r>
    </w:p>
    <w:p>
      <w:pPr>
        <w:pStyle w:val="FirstParagraph"/>
      </w:pPr>
      <w:r>
        <w:t xml:space="preserve">Os indicadores provêm de uma combinação de fontes nacionais e internacionais. Entre as fontes nacionais contam-se o Instituto Nacional de Estatística, o Banco Nacional de Angola, o Ministério das Finanças, o Ministério da Economia e Planeamento, o Ministério da Saúde, o Ministério da Energia e Águas e o Ministério dos Transportes. Entre as fontes internacionais figuram o Banco Mundial (incluindo os World Development Indicators e os Worldwide Governance Indicators), a Organização Mundial da Saúde, a UNESCO, a Organização Internacional do Trabalho (ILOSTAT), a Conferência das Nações Unidas sobre Comércio e Desenvolvimento (UNCTAD), a Transparency International, a União Interparlamentar (IPU), o Fórum Económico Mundial (WEF), a UNICEF e a FAO. A lista completa consta do Anexo B.</w:t>
      </w:r>
    </w:p>
    <w:p>
      <w:pPr>
        <w:pStyle w:val="BodyText"/>
      </w:pPr>
      <w:r>
        <w:t xml:space="preserve">Dos quarenta e um indicadores seleccionados, dezanove envolvem uma fonte nacional. O processo de selecção atribui uma bonificação explícita aos indicadores de origem nacional, reconhecendo a sua maior pertinência e actualidade para o contexto angolano (ver Secção 4).</w:t>
      </w:r>
    </w:p>
    <w:bookmarkEnd w:id="31"/>
    <w:bookmarkStart w:id="32" w:name="período-e-estrutura-temporal"/>
    <w:p>
      <w:pPr>
        <w:pStyle w:val="Heading2"/>
      </w:pPr>
      <w:r>
        <w:t xml:space="preserve">3.3 Período e estrutura temporal</w:t>
      </w:r>
    </w:p>
    <w:p>
      <w:pPr>
        <w:pStyle w:val="FirstParagraph"/>
      </w:pPr>
      <w:r>
        <w:t xml:space="preserve">Todas as séries são organizadas numa grelha anual fixa de 2015 a 2025, o que assegura a comparabilidade entre indicadores e ao longo do tempo. A cobertura efectiva varia entre indicadores: vinte e dois dos quarenta e um indicadores têm observações até 2025, treze têm 2024 como última observação e seis têm 2023; por efeito do limiar de recência, nenhum indicador seleccionado tem última observação anterior a 2023. Esta heterogeneidade de cobertura é tratada pelas regras descritas na Secção 5.</w:t>
      </w:r>
    </w:p>
    <w:bookmarkEnd w:id="32"/>
    <w:bookmarkStart w:id="33" w:name="anualização-de-séries-infra-anuais"/>
    <w:p>
      <w:pPr>
        <w:pStyle w:val="Heading2"/>
      </w:pPr>
      <w:r>
        <w:t xml:space="preserve">3.4 Anualização de séries infra-anuais</w:t>
      </w:r>
    </w:p>
    <w:p>
      <w:pPr>
        <w:pStyle w:val="FirstParagraph"/>
      </w:pPr>
      <w:r>
        <w:t xml:space="preserve">Quando uma fonte disponibiliza dados com periodicidade superior à anual (por exemplo, mensal ou trimestral), a série é convertida para frequência anual segundo uma regra de agregação coerente com a natureza da variável: variáveis de fluxo são somadas ou anualizadas, variáveis de stock e índices são tomados em fim de período ou em média anual, conforme apropriado. Esta regra é aplicada de forma uniforme para evitar descontinuidades artificiais na série.</w:t>
      </w:r>
    </w:p>
    <w:bookmarkEnd w:id="33"/>
    <w:bookmarkEnd w:id="34"/>
    <w:bookmarkStart w:id="40" w:name="selecção-de-indicadores"/>
    <w:p>
      <w:pPr>
        <w:pStyle w:val="Heading1"/>
      </w:pPr>
      <w:r>
        <w:t xml:space="preserve">4. Selecção de indicadores</w:t>
      </w:r>
    </w:p>
    <w:bookmarkStart w:id="35" w:name="critérios-de-selecção"/>
    <w:p>
      <w:pPr>
        <w:pStyle w:val="Heading2"/>
      </w:pPr>
      <w:r>
        <w:t xml:space="preserve">4.1 Critérios de selecção</w:t>
      </w:r>
    </w:p>
    <w:p>
      <w:pPr>
        <w:pStyle w:val="FirstParagraph"/>
      </w:pPr>
      <w:r>
        <w:t xml:space="preserve">A selecção de indicadores assenta em três critérios, que traduzem as recomendações da literatura sobre a qualidade de indicadores para índices compósitos:</w:t>
      </w:r>
    </w:p>
    <w:p>
      <w:pPr>
        <w:numPr>
          <w:ilvl w:val="0"/>
          <w:numId w:val="1003"/>
        </w:numPr>
      </w:pPr>
      <w:r>
        <w:rPr>
          <w:bCs/>
          <w:b/>
        </w:rPr>
        <w:t xml:space="preserve">Relevância.</w:t>
      </w:r>
      <w:r>
        <w:rPr>
          <w:bCs/>
          <w:b/>
        </w:rPr>
        <w:t xml:space="preserve"> </w:t>
      </w:r>
      <w:r>
        <w:t xml:space="preserve">O grau em que o indicador capta de forma directa e teoricamente fundamentada o conceito da dimensão a que pertence.</w:t>
      </w:r>
    </w:p>
    <w:p>
      <w:pPr>
        <w:numPr>
          <w:ilvl w:val="0"/>
          <w:numId w:val="1003"/>
        </w:numPr>
      </w:pPr>
      <w:r>
        <w:rPr>
          <w:bCs/>
          <w:b/>
        </w:rPr>
        <w:t xml:space="preserve">Completude.</w:t>
      </w:r>
      <w:r>
        <w:rPr>
          <w:bCs/>
          <w:b/>
        </w:rPr>
        <w:t xml:space="preserve"> </w:t>
      </w:r>
      <w:r>
        <w:t xml:space="preserve">A extensão da cobertura temporal observada, premiando séries com menos lacunas e dados mais recentes.</w:t>
      </w:r>
    </w:p>
    <w:p>
      <w:pPr>
        <w:numPr>
          <w:ilvl w:val="0"/>
          <w:numId w:val="1003"/>
        </w:numPr>
      </w:pPr>
      <w:r>
        <w:rPr>
          <w:bCs/>
          <w:b/>
        </w:rPr>
        <w:t xml:space="preserve">Consistência.</w:t>
      </w:r>
      <w:r>
        <w:rPr>
          <w:bCs/>
          <w:b/>
        </w:rPr>
        <w:t xml:space="preserve"> </w:t>
      </w:r>
      <w:r>
        <w:t xml:space="preserve">A estabilidade e fiabilidade da série, penalizando rupturas metodológicas e valores anómalos não explicados.</w:t>
      </w:r>
    </w:p>
    <w:bookmarkEnd w:id="35"/>
    <w:bookmarkStart w:id="36" w:name="pontuação-e-ranking"/>
    <w:p>
      <w:pPr>
        <w:pStyle w:val="Heading2"/>
      </w:pPr>
      <w:r>
        <w:t xml:space="preserve">4.2 Pontuação e ranking</w:t>
      </w:r>
    </w:p>
    <w:p>
      <w:pPr>
        <w:pStyle w:val="FirstParagraph"/>
      </w:pPr>
      <w:r>
        <w:t xml:space="preserve">Cada indicador candidato recebe uma pontuação total que combina os três critérios com os pesos abaixo, acrescida de uma bonificação fixa quando a fonte é nacional. Os parâmetros são configuráveis na folha de critérios do construtor:</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Parâmetro de selecção</w:t>
            </w:r>
          </w:p>
        </w:tc>
        <w:tc>
          <w:tcPr/>
          <w:p>
            <w:pPr>
              <w:pStyle w:val="Compact"/>
              <w:jc w:val="left"/>
            </w:pPr>
            <w:r>
              <w:rPr>
                <w:bCs/>
                <w:b/>
              </w:rPr>
              <w:t xml:space="preserve">Símbolo</w:t>
            </w:r>
          </w:p>
        </w:tc>
        <w:tc>
          <w:tcPr/>
          <w:p>
            <w:pPr>
              <w:pStyle w:val="Compact"/>
              <w:jc w:val="left"/>
            </w:pPr>
            <w:r>
              <w:rPr>
                <w:bCs/>
                <w:b/>
              </w:rPr>
              <w:t xml:space="preserve">Valor</w:t>
            </w:r>
          </w:p>
        </w:tc>
      </w:tr>
      <w:tr>
        <w:tc>
          <w:tcPr/>
          <w:p>
            <w:pPr>
              <w:pStyle w:val="Compact"/>
              <w:jc w:val="left"/>
            </w:pPr>
            <w:r>
              <w:t xml:space="preserve">Peso do critério Relevância</w:t>
            </w:r>
          </w:p>
        </w:tc>
        <w:tc>
          <w:tcPr/>
          <w:p>
            <w:pPr>
              <w:pStyle w:val="Compact"/>
              <w:jc w:val="left"/>
            </w:pPr>
            <w:r>
              <w:t xml:space="preserve">w₁</w:t>
            </w:r>
          </w:p>
        </w:tc>
        <w:tc>
          <w:tcPr/>
          <w:p>
            <w:pPr>
              <w:pStyle w:val="Compact"/>
              <w:jc w:val="left"/>
            </w:pPr>
            <w:r>
              <w:rPr>
                <w:bCs/>
                <w:b/>
              </w:rPr>
              <w:t xml:space="preserve">0,40</w:t>
            </w:r>
          </w:p>
        </w:tc>
      </w:tr>
      <w:tr>
        <w:tc>
          <w:tcPr/>
          <w:p>
            <w:pPr>
              <w:pStyle w:val="Compact"/>
              <w:jc w:val="left"/>
            </w:pPr>
            <w:r>
              <w:t xml:space="preserve">Peso do critério Completude</w:t>
            </w:r>
          </w:p>
        </w:tc>
        <w:tc>
          <w:tcPr/>
          <w:p>
            <w:pPr>
              <w:pStyle w:val="Compact"/>
              <w:jc w:val="left"/>
            </w:pPr>
            <w:r>
              <w:t xml:space="preserve">w₂</w:t>
            </w:r>
          </w:p>
        </w:tc>
        <w:tc>
          <w:tcPr/>
          <w:p>
            <w:pPr>
              <w:pStyle w:val="Compact"/>
              <w:jc w:val="left"/>
            </w:pPr>
            <w:r>
              <w:rPr>
                <w:bCs/>
                <w:b/>
              </w:rPr>
              <w:t xml:space="preserve">0,35</w:t>
            </w:r>
          </w:p>
        </w:tc>
      </w:tr>
      <w:tr>
        <w:tc>
          <w:tcPr/>
          <w:p>
            <w:pPr>
              <w:pStyle w:val="Compact"/>
              <w:jc w:val="left"/>
            </w:pPr>
            <w:r>
              <w:t xml:space="preserve">Peso do critério Consistência</w:t>
            </w:r>
          </w:p>
        </w:tc>
        <w:tc>
          <w:tcPr/>
          <w:p>
            <w:pPr>
              <w:pStyle w:val="Compact"/>
              <w:jc w:val="left"/>
            </w:pPr>
            <w:r>
              <w:t xml:space="preserve">w₃</w:t>
            </w:r>
          </w:p>
        </w:tc>
        <w:tc>
          <w:tcPr/>
          <w:p>
            <w:pPr>
              <w:pStyle w:val="Compact"/>
              <w:jc w:val="left"/>
            </w:pPr>
            <w:r>
              <w:rPr>
                <w:bCs/>
                <w:b/>
              </w:rPr>
              <w:t xml:space="preserve">0,25</w:t>
            </w:r>
          </w:p>
        </w:tc>
      </w:tr>
      <w:tr>
        <w:tc>
          <w:tcPr/>
          <w:p>
            <w:pPr>
              <w:pStyle w:val="Compact"/>
              <w:jc w:val="left"/>
            </w:pPr>
            <w:r>
              <w:t xml:space="preserve">Bonificação de fonte nacional (pontos)</w:t>
            </w:r>
          </w:p>
        </w:tc>
        <w:tc>
          <w:tcPr/>
          <w:p>
            <w:pPr>
              <w:pStyle w:val="Compact"/>
              <w:jc w:val="left"/>
            </w:pPr>
            <w:r>
              <w:t xml:space="preserve">+b</w:t>
            </w:r>
          </w:p>
        </w:tc>
        <w:tc>
          <w:tcPr/>
          <w:p>
            <w:pPr>
              <w:pStyle w:val="Compact"/>
              <w:jc w:val="left"/>
            </w:pPr>
            <w:r>
              <w:rPr>
                <w:bCs/>
                <w:b/>
              </w:rPr>
              <w:t xml:space="preserve">12</w:t>
            </w:r>
          </w:p>
        </w:tc>
      </w:tr>
    </w:tbl>
    <w:p>
      <w:pPr>
        <w:pStyle w:val="BodyText"/>
      </w:pPr>
      <w:r>
        <w:t xml:space="preserve">Os indicadores são ordenados pela pontuação total dentro de cada dimensão. Um indicador só é elegível se tiver sinal e fronteiras de normalização válidos, dados suficientes e um último ano observado não anterior ao limiar de recência (fixado em 2023).</w:t>
      </w:r>
    </w:p>
    <w:bookmarkEnd w:id="36"/>
    <w:bookmarkStart w:id="37" w:name="mecanismo-anti-duplicação"/>
    <w:p>
      <w:pPr>
        <w:pStyle w:val="Heading2"/>
      </w:pPr>
      <w:r>
        <w:t xml:space="preserve">4.3 Mecanismo anti-duplicação</w:t>
      </w:r>
    </w:p>
    <w:p>
      <w:pPr>
        <w:pStyle w:val="FirstParagraph"/>
      </w:pPr>
      <w:r>
        <w:t xml:space="preserve">Para impedir que o mesmo conceito entre múltiplas vezes — por exemplo, o mesmo fenómeno medido por duas fontes, ou um indicador e um seu subcomponente — cada candidato é atribuído a um grupo temático. Dentro de cada grupo, apenas o indicador mais bem classificado é elegível para selecção, em toda a base e não apenas dentro de uma dimensão. Este mecanismo é decisivo: garante, por exemplo, que indicadores de penetração de internet ou de telemóvel não sejam contabilizados simultaneamente em Infraestruturas e em Transformação Digital.</w:t>
      </w:r>
    </w:p>
    <w:bookmarkEnd w:id="37"/>
    <w:bookmarkStart w:id="38" w:name="modo-automático-e-modo-manual"/>
    <w:p>
      <w:pPr>
        <w:pStyle w:val="Heading2"/>
      </w:pPr>
      <w:r>
        <w:t xml:space="preserve">4.4 Modo automático e modo manual</w:t>
      </w:r>
    </w:p>
    <w:p>
      <w:pPr>
        <w:pStyle w:val="FirstParagraph"/>
      </w:pPr>
      <w:r>
        <w:t xml:space="preserve">O construtor admite dois modos de operação. No modo automático, a selecção resulta do ranking: por dimensão, são escolhidos os melhores indicadores por Score Total até ao número-alvo, com anti-duplicação por grupo temático (só o melhor indicador de cada grupo é elegível). No modo manual, entram apenas os indicadores marcados «Incluir». A selecção final opera em modo automático, com ajustes pontuais («Excluir») para retirar sobreposições residuais; o modo de referência é «Automática».</w:t>
      </w:r>
    </w:p>
    <w:bookmarkEnd w:id="38"/>
    <w:bookmarkStart w:id="39" w:name="resultado-da-selecção"/>
    <w:p>
      <w:pPr>
        <w:pStyle w:val="Heading2"/>
      </w:pPr>
      <w:r>
        <w:t xml:space="preserve">4.5 Resultado da selecção</w:t>
      </w:r>
    </w:p>
    <w:p>
      <w:pPr>
        <w:pStyle w:val="FirstParagraph"/>
      </w:pPr>
      <w:r>
        <w:t xml:space="preserve">A aplicação destes critérios, com curadoria de não-redundância, resulta em quarenta e um indicadores distribuídos pelas oito dimensões activas, conforme o quadro seguinte. As três dimensões inactivas (Ambiente/Clima, Demografia/Território e Digital/Inovação) não contribuem com indicadores nesta versão. O detalhe indicador a indicador consta do Anexo A.</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Dimensão</w:t>
            </w:r>
          </w:p>
        </w:tc>
        <w:tc>
          <w:tcPr/>
          <w:p>
            <w:pPr>
              <w:pStyle w:val="Compact"/>
              <w:jc w:val="left"/>
            </w:pPr>
            <w:r>
              <w:rPr>
                <w:bCs/>
                <w:b/>
              </w:rPr>
              <w:t xml:space="preserve">N.º de indicadores</w:t>
            </w:r>
          </w:p>
        </w:tc>
      </w:tr>
      <w:tr>
        <w:tc>
          <w:tcPr/>
          <w:p>
            <w:pPr>
              <w:pStyle w:val="Compact"/>
              <w:jc w:val="left"/>
            </w:pPr>
            <w:r>
              <w:t xml:space="preserve">1. Governança e Estado de Direito</w:t>
            </w:r>
          </w:p>
        </w:tc>
        <w:tc>
          <w:tcPr/>
          <w:p>
            <w:pPr>
              <w:pStyle w:val="Compact"/>
              <w:jc w:val="left"/>
            </w:pPr>
            <w:r>
              <w:t xml:space="preserve">5</w:t>
            </w:r>
          </w:p>
        </w:tc>
      </w:tr>
      <w:tr>
        <w:tc>
          <w:tcPr/>
          <w:p>
            <w:pPr>
              <w:pStyle w:val="Compact"/>
              <w:jc w:val="left"/>
            </w:pPr>
            <w:r>
              <w:t xml:space="preserve">2. Estabilidade Macroeconómica</w:t>
            </w:r>
          </w:p>
        </w:tc>
        <w:tc>
          <w:tcPr/>
          <w:p>
            <w:pPr>
              <w:pStyle w:val="Compact"/>
              <w:jc w:val="left"/>
            </w:pPr>
            <w:r>
              <w:t xml:space="preserve">7</w:t>
            </w:r>
          </w:p>
        </w:tc>
      </w:tr>
      <w:tr>
        <w:tc>
          <w:tcPr/>
          <w:p>
            <w:pPr>
              <w:pStyle w:val="Compact"/>
              <w:jc w:val="left"/>
            </w:pPr>
            <w:r>
              <w:t xml:space="preserve">3. Capital Humano</w:t>
            </w:r>
          </w:p>
        </w:tc>
        <w:tc>
          <w:tcPr/>
          <w:p>
            <w:pPr>
              <w:pStyle w:val="Compact"/>
              <w:jc w:val="left"/>
            </w:pPr>
            <w:r>
              <w:t xml:space="preserve">4</w:t>
            </w:r>
          </w:p>
        </w:tc>
      </w:tr>
      <w:tr>
        <w:tc>
          <w:tcPr/>
          <w:p>
            <w:pPr>
              <w:pStyle w:val="Compact"/>
              <w:jc w:val="left"/>
            </w:pPr>
            <w:r>
              <w:t xml:space="preserve">4. Inclusão Social e Protecção</w:t>
            </w:r>
          </w:p>
        </w:tc>
        <w:tc>
          <w:tcPr/>
          <w:p>
            <w:pPr>
              <w:pStyle w:val="Compact"/>
              <w:jc w:val="left"/>
            </w:pPr>
            <w:r>
              <w:t xml:space="preserve">3</w:t>
            </w:r>
          </w:p>
        </w:tc>
      </w:tr>
      <w:tr>
        <w:tc>
          <w:tcPr/>
          <w:p>
            <w:pPr>
              <w:pStyle w:val="Compact"/>
              <w:jc w:val="left"/>
            </w:pPr>
            <w:r>
              <w:t xml:space="preserve">5. Infraestruturas e Serviços</w:t>
            </w:r>
          </w:p>
        </w:tc>
        <w:tc>
          <w:tcPr/>
          <w:p>
            <w:pPr>
              <w:pStyle w:val="Compact"/>
              <w:jc w:val="left"/>
            </w:pPr>
            <w:r>
              <w:t xml:space="preserve">5</w:t>
            </w:r>
          </w:p>
        </w:tc>
      </w:tr>
      <w:tr>
        <w:tc>
          <w:tcPr/>
          <w:p>
            <w:pPr>
              <w:pStyle w:val="Compact"/>
              <w:jc w:val="left"/>
            </w:pPr>
            <w:r>
              <w:t xml:space="preserve">6. Mercado de Trabalho</w:t>
            </w:r>
          </w:p>
        </w:tc>
        <w:tc>
          <w:tcPr/>
          <w:p>
            <w:pPr>
              <w:pStyle w:val="Compact"/>
              <w:jc w:val="left"/>
            </w:pPr>
            <w:r>
              <w:t xml:space="preserve">5</w:t>
            </w:r>
          </w:p>
        </w:tc>
      </w:tr>
      <w:tr>
        <w:tc>
          <w:tcPr/>
          <w:p>
            <w:pPr>
              <w:pStyle w:val="Compact"/>
              <w:jc w:val="left"/>
            </w:pPr>
            <w:r>
              <w:t xml:space="preserve">7. Segurança Alimentar e Saúde</w:t>
            </w:r>
          </w:p>
        </w:tc>
        <w:tc>
          <w:tcPr/>
          <w:p>
            <w:pPr>
              <w:pStyle w:val="Compact"/>
              <w:jc w:val="left"/>
            </w:pPr>
            <w:r>
              <w:t xml:space="preserve">7</w:t>
            </w:r>
          </w:p>
        </w:tc>
      </w:tr>
      <w:tr>
        <w:tc>
          <w:tcPr/>
          <w:p>
            <w:pPr>
              <w:pStyle w:val="Compact"/>
              <w:jc w:val="left"/>
            </w:pPr>
            <w:r>
              <w:t xml:space="preserve">8. Diversificação Produtiva e Setor Privado</w:t>
            </w:r>
          </w:p>
        </w:tc>
        <w:tc>
          <w:tcPr/>
          <w:p>
            <w:pPr>
              <w:pStyle w:val="Compact"/>
              <w:jc w:val="left"/>
            </w:pPr>
            <w:r>
              <w:t xml:space="preserve">5</w:t>
            </w:r>
          </w:p>
        </w:tc>
      </w:tr>
      <w:tr>
        <w:tc>
          <w:tcPr/>
          <w:p>
            <w:pPr>
              <w:pStyle w:val="Compact"/>
              <w:jc w:val="left"/>
            </w:pPr>
            <w:r>
              <w:t xml:space="preserve">Total (8 dimensões activas)</w:t>
            </w:r>
          </w:p>
        </w:tc>
        <w:tc>
          <w:tcPr/>
          <w:p>
            <w:pPr>
              <w:pStyle w:val="Compact"/>
              <w:jc w:val="left"/>
            </w:pPr>
            <w:r>
              <w:t xml:space="preserve">41</w:t>
            </w:r>
          </w:p>
        </w:tc>
      </w:tr>
    </w:tbl>
    <w:bookmarkEnd w:id="39"/>
    <w:bookmarkEnd w:id="40"/>
    <w:bookmarkStart w:id="45" w:name="tratamento-de-dados-em-falta"/>
    <w:p>
      <w:pPr>
        <w:pStyle w:val="Heading1"/>
      </w:pPr>
      <w:r>
        <w:t xml:space="preserve">5. Tratamento de dados em falta</w:t>
      </w:r>
    </w:p>
    <w:p>
      <w:pPr>
        <w:pStyle w:val="FirstParagraph"/>
      </w:pPr>
      <w:r>
        <w:t xml:space="preserve">Nenhuma base de indicadores para um país em desenvolvimento está completa. A estratégia de tratamento de lacunas procura preservar o máximo de informação observada sem introduzir distorções, e é deliberadamente conservadora. Combina técnicas de imputação temporal e de harmonização de frequência, todas sujeitas a limites estritos e a uma salvaguarda de cobertura mínima.</w:t>
      </w:r>
    </w:p>
    <w:bookmarkStart w:id="41" w:name="técnicas-de-complemento-de-dados"/>
    <w:p>
      <w:pPr>
        <w:pStyle w:val="Heading2"/>
      </w:pPr>
      <w:r>
        <w:t xml:space="preserve">5.1 Técnicas de complemento de dados</w:t>
      </w:r>
    </w:p>
    <w:p>
      <w:pPr>
        <w:pStyle w:val="FirstParagraph"/>
      </w:pPr>
      <w:r>
        <w:t xml:space="preserve">O quadro seguinte expõe as técnicas utilizadas para complementar as séries, indicando, para cada uma, a situação em que se aplica e o respectivo mecanismo de cálculo. Os limites quantitativos que regulam estas técnicas são apresentados na subsecção seguinte.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Técnica</w:t>
            </w:r>
          </w:p>
        </w:tc>
        <w:tc>
          <w:tcPr/>
          <w:p>
            <w:pPr>
              <w:pStyle w:val="Compact"/>
              <w:jc w:val="left"/>
            </w:pPr>
            <w:r>
              <w:rPr>
                <w:bCs/>
                <w:b/>
              </w:rPr>
              <w:t xml:space="preserve">Quando se aplica</w:t>
            </w:r>
          </w:p>
        </w:tc>
        <w:tc>
          <w:tcPr/>
          <w:p>
            <w:pPr>
              <w:pStyle w:val="Compact"/>
              <w:jc w:val="left"/>
            </w:pPr>
            <w:r>
              <w:rPr>
                <w:bCs/>
                <w:b/>
              </w:rPr>
              <w:t xml:space="preserve">Mecanismo de cálculo</w:t>
            </w:r>
          </w:p>
        </w:tc>
      </w:tr>
      <w:tr>
        <w:tc>
          <w:tcPr/>
          <w:p>
            <w:pPr>
              <w:pStyle w:val="Compact"/>
              <w:jc w:val="left"/>
            </w:pPr>
            <w:r>
              <w:rPr>
                <w:bCs/>
                <w:b/>
              </w:rPr>
              <w:t xml:space="preserve">Interpolação linear</w:t>
            </w:r>
          </w:p>
        </w:tc>
        <w:tc>
          <w:tcPr/>
          <w:p>
            <w:pPr>
              <w:pStyle w:val="Compact"/>
              <w:jc w:val="left"/>
            </w:pPr>
            <w:r>
              <w:t xml:space="preserve">Lacunas internas da série, entre duas observações conhecidas.</w:t>
            </w:r>
          </w:p>
        </w:tc>
        <w:tc>
          <w:tcPr/>
          <w:p>
            <w:pPr>
              <w:pStyle w:val="Compact"/>
              <w:jc w:val="left"/>
            </w:pPr>
            <w:r>
              <w:t xml:space="preserve">Estima o valor em falta sobre a recta que une as observações conhecidas imediatamente anterior e posterior.</w:t>
            </w:r>
          </w:p>
        </w:tc>
      </w:tr>
      <w:tr>
        <w:tc>
          <w:tcPr/>
          <w:p>
            <w:pPr>
              <w:pStyle w:val="Compact"/>
              <w:jc w:val="left"/>
            </w:pPr>
            <w:r>
              <w:rPr>
                <w:bCs/>
                <w:b/>
              </w:rPr>
              <w:t xml:space="preserve">Repetição do último valor (carry-forward)</w:t>
            </w:r>
          </w:p>
        </w:tc>
        <w:tc>
          <w:tcPr/>
          <w:p>
            <w:pPr>
              <w:pStyle w:val="Compact"/>
              <w:jc w:val="left"/>
            </w:pPr>
            <w:r>
              <w:t xml:space="preserve">Anos no fim da série sem observação.</w:t>
            </w:r>
          </w:p>
        </w:tc>
        <w:tc>
          <w:tcPr/>
          <w:p>
            <w:pPr>
              <w:pStyle w:val="Compact"/>
              <w:jc w:val="left"/>
            </w:pPr>
            <w:r>
              <w:t xml:space="preserve">Mantém constante o último valor observado, projectando-o para os anos seguintes até surgir nova observação.</w:t>
            </w:r>
          </w:p>
        </w:tc>
      </w:tr>
      <w:tr>
        <w:tc>
          <w:tcPr/>
          <w:p>
            <w:pPr>
              <w:pStyle w:val="Compact"/>
              <w:jc w:val="left"/>
            </w:pPr>
            <w:r>
              <w:rPr>
                <w:bCs/>
                <w:b/>
              </w:rPr>
              <w:t xml:space="preserve">Repetição do primeiro valor (carry-backward)</w:t>
            </w:r>
          </w:p>
        </w:tc>
        <w:tc>
          <w:tcPr/>
          <w:p>
            <w:pPr>
              <w:pStyle w:val="Compact"/>
              <w:jc w:val="left"/>
            </w:pPr>
            <w:r>
              <w:t xml:space="preserve">Anos no início da série sem observação.</w:t>
            </w:r>
          </w:p>
        </w:tc>
        <w:tc>
          <w:tcPr/>
          <w:p>
            <w:pPr>
              <w:pStyle w:val="Compact"/>
              <w:jc w:val="left"/>
            </w:pPr>
            <w:r>
              <w:t xml:space="preserve">Recua o primeiro valor observado para os anos anteriores em falta, mantendo-o constante.</w:t>
            </w:r>
          </w:p>
        </w:tc>
      </w:tr>
      <w:tr>
        <w:tc>
          <w:tcPr/>
          <w:p>
            <w:pPr>
              <w:pStyle w:val="Compact"/>
              <w:jc w:val="left"/>
            </w:pPr>
            <w:r>
              <w:rPr>
                <w:bCs/>
                <w:b/>
              </w:rPr>
              <w:t xml:space="preserve">Anualização de séries infra-anuais</w:t>
            </w:r>
          </w:p>
        </w:tc>
        <w:tc>
          <w:tcPr/>
          <w:p>
            <w:pPr>
              <w:pStyle w:val="Compact"/>
              <w:jc w:val="left"/>
            </w:pPr>
            <w:r>
              <w:t xml:space="preserve">Indicadores com periodicidade mensal ou trimestral.</w:t>
            </w:r>
          </w:p>
        </w:tc>
        <w:tc>
          <w:tcPr/>
          <w:p>
            <w:pPr>
              <w:pStyle w:val="Compact"/>
              <w:jc w:val="left"/>
            </w:pPr>
            <w:r>
              <w:t xml:space="preserve">Converte a série para frequência anual de modo coerente com a variável: soma ou anualização para fluxos; fim de período ou média anual para stocks e índices.</w:t>
            </w:r>
          </w:p>
        </w:tc>
      </w:tr>
    </w:tbl>
    <w:p>
      <w:pPr>
        <w:pStyle w:val="BodyText"/>
      </w:pPr>
      <w:r>
        <w:t xml:space="preserve">Não são utilizadas técnicas de imputação por média, por regressão ou por modelos mais complexos: a opção por métodos simples e locais reduz o risco de introduzir estrutura artificial nos dados e mantém o processo transparente e auditável.</w:t>
      </w:r>
    </w:p>
    <w:bookmarkEnd w:id="41"/>
    <w:bookmarkStart w:id="42" w:name="parâmetros-e-limites-de-imputação"/>
    <w:p>
      <w:pPr>
        <w:pStyle w:val="Heading2"/>
      </w:pPr>
      <w:r>
        <w:t xml:space="preserve">5.2 Parâmetros e limites de imputação</w:t>
      </w:r>
    </w:p>
    <w:p>
      <w:pPr>
        <w:pStyle w:val="FirstParagraph"/>
      </w:pPr>
      <w:r>
        <w:t xml:space="preserve">As técnicas de interpolação e de extrapolação operam sob limites estritos, que impedem a projecção de valores para além de uma janela curta. Os parâmetros são configuráveis na folha de critérios do construtor:</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Regra de imputação</w:t>
            </w:r>
          </w:p>
        </w:tc>
        <w:tc>
          <w:tcPr/>
          <w:p>
            <w:pPr>
              <w:pStyle w:val="Compact"/>
              <w:jc w:val="left"/>
            </w:pPr>
            <w:r>
              <w:rPr>
                <w:bCs/>
                <w:b/>
              </w:rPr>
              <w:t xml:space="preserve">Limite</w:t>
            </w:r>
          </w:p>
        </w:tc>
        <w:tc>
          <w:tcPr/>
          <w:p>
            <w:pPr>
              <w:pStyle w:val="Compact"/>
              <w:jc w:val="left"/>
            </w:pPr>
            <w:r>
              <w:rPr>
                <w:bCs/>
                <w:b/>
              </w:rPr>
              <w:t xml:space="preserve">Unidade</w:t>
            </w:r>
          </w:p>
        </w:tc>
      </w:tr>
      <w:tr>
        <w:tc>
          <w:tcPr/>
          <w:p>
            <w:pPr>
              <w:pStyle w:val="Compact"/>
              <w:jc w:val="left"/>
            </w:pPr>
            <w:r>
              <w:t xml:space="preserve">Lacuna máxima para interpolação linear</w:t>
            </w:r>
          </w:p>
        </w:tc>
        <w:tc>
          <w:tcPr/>
          <w:p>
            <w:pPr>
              <w:pStyle w:val="Compact"/>
              <w:jc w:val="left"/>
            </w:pPr>
            <w:r>
              <w:t xml:space="preserve">2</w:t>
            </w:r>
          </w:p>
        </w:tc>
        <w:tc>
          <w:tcPr/>
          <w:p>
            <w:pPr>
              <w:pStyle w:val="Compact"/>
              <w:jc w:val="left"/>
            </w:pPr>
            <w:r>
              <w:t xml:space="preserve">anos</w:t>
            </w:r>
          </w:p>
        </w:tc>
      </w:tr>
      <w:tr>
        <w:tc>
          <w:tcPr/>
          <w:p>
            <w:pPr>
              <w:pStyle w:val="Compact"/>
              <w:jc w:val="left"/>
            </w:pPr>
            <w:r>
              <w:t xml:space="preserve">Carry-forward máximo no fim da série</w:t>
            </w:r>
          </w:p>
        </w:tc>
        <w:tc>
          <w:tcPr/>
          <w:p>
            <w:pPr>
              <w:pStyle w:val="Compact"/>
              <w:jc w:val="left"/>
            </w:pPr>
            <w:r>
              <w:rPr>
                <w:bCs/>
                <w:b/>
              </w:rPr>
              <w:t xml:space="preserve">2</w:t>
            </w:r>
          </w:p>
        </w:tc>
        <w:tc>
          <w:tcPr/>
          <w:p>
            <w:pPr>
              <w:pStyle w:val="Compact"/>
              <w:jc w:val="left"/>
            </w:pPr>
            <w:r>
              <w:t xml:space="preserve">anos</w:t>
            </w:r>
          </w:p>
        </w:tc>
      </w:tr>
      <w:tr>
        <w:tc>
          <w:tcPr/>
          <w:p>
            <w:pPr>
              <w:pStyle w:val="Compact"/>
              <w:jc w:val="left"/>
            </w:pPr>
            <w:r>
              <w:t xml:space="preserve">Carry-backward máximo no início da série</w:t>
            </w:r>
          </w:p>
        </w:tc>
        <w:tc>
          <w:tcPr/>
          <w:p>
            <w:pPr>
              <w:pStyle w:val="Compact"/>
              <w:jc w:val="left"/>
            </w:pPr>
            <w:r>
              <w:rPr>
                <w:bCs/>
                <w:b/>
              </w:rPr>
              <w:t xml:space="preserve">2</w:t>
            </w:r>
          </w:p>
        </w:tc>
        <w:tc>
          <w:tcPr/>
          <w:p>
            <w:pPr>
              <w:pStyle w:val="Compact"/>
              <w:jc w:val="left"/>
            </w:pPr>
            <w:r>
              <w:t xml:space="preserve">anos</w:t>
            </w:r>
          </w:p>
        </w:tc>
      </w:tr>
    </w:tbl>
    <w:p>
      <w:pPr>
        <w:pStyle w:val="BodyText"/>
      </w:pPr>
      <w:r>
        <w:t xml:space="preserve">Os limites garantem que nenhum valor é projectado para além de uma janela curta, evitando que séries com dados antigos contaminem os anos recentes com valores artificiais demasiado distantes da última observação real.</w:t>
      </w:r>
    </w:p>
    <w:bookmarkEnd w:id="42"/>
    <w:bookmarkStart w:id="43" w:name="regra-de-cobertura-mínima"/>
    <w:p>
      <w:pPr>
        <w:pStyle w:val="Heading2"/>
      </w:pPr>
      <w:r>
        <w:t xml:space="preserve">5.3 Regra de cobertura mínima</w:t>
      </w:r>
    </w:p>
    <w:p>
      <w:pPr>
        <w:pStyle w:val="FirstParagraph"/>
      </w:pPr>
      <w:r>
        <w:t xml:space="preserve">A imputação opera ao nível do indicador; a robustez ao nível da dimensão é assegurada por uma regra de cobertura mínima. Um subíndice dimensional só é calculado, num dado ano, se pelo menos 75% dos seus indicadores tiverem valor observado ou validamente imputado nesse ano. De igual modo, o índice global só é calculado se pelo menos quatro dimensões cumprirem a sua cobertura mínima. Estas regras impedem que um subíndice ou o IGDA sejam reportados quando assentam em informação demasiado escassa.</w:t>
      </w:r>
    </w:p>
    <w:bookmarkEnd w:id="43"/>
    <w:bookmarkStart w:id="44" w:name="implicações-para-os-anos-recentes"/>
    <w:p>
      <w:pPr>
        <w:pStyle w:val="Heading2"/>
      </w:pPr>
      <w:r>
        <w:t xml:space="preserve">5.4 Implicações para os anos recentes</w:t>
      </w:r>
    </w:p>
    <w:p>
      <w:pPr>
        <w:pStyle w:val="FirstParagraph"/>
      </w:pPr>
      <w:r>
        <w:t xml:space="preserve">Como vinte e dois dos quarenta e um indicadores têm observação até 2025 e treze até 2024, o último ano da série assenta ainda, em parte, em extrapolação por carry-forward. Em consequência, 2025 deve ser interpretado como provisório e revisto à medida que as fontes publiquem dados definitivos. Esta limitação é tratada explicitamente nas Secções 9 e 11.</w:t>
      </w:r>
    </w:p>
    <w:bookmarkEnd w:id="44"/>
    <w:bookmarkEnd w:id="45"/>
    <w:bookmarkStart w:id="49" w:name="normalização"/>
    <w:p>
      <w:pPr>
        <w:pStyle w:val="Heading1"/>
      </w:pPr>
      <w:r>
        <w:t xml:space="preserve">6. Normalização</w:t>
      </w:r>
    </w:p>
    <w:bookmarkStart w:id="46" w:name="método-min-máx"/>
    <w:p>
      <w:pPr>
        <w:pStyle w:val="Heading2"/>
      </w:pPr>
      <w:r>
        <w:t xml:space="preserve">6.1 Método min-máx</w:t>
      </w:r>
    </w:p>
    <w:p>
      <w:pPr>
        <w:pStyle w:val="FirstParagraph"/>
      </w:pPr>
      <w:r>
        <w:t xml:space="preserve">Os indicadores são expressos em unidades heterogéneas (percentagens, dólares, anos, taxas por cem mil habitantes), pelo que têm de ser convertidos para uma escala comum antes de serem combinados. Adopta-se a normalização min-máx, que transforma cada indicador para o intervalo de 0 a 100 a partir de um valor mínimo e de um valor máximo de referência. Para um indicador em que valores mais altos são melhores, a fórmula é a diferença entre o valor e o mínimo, dividida pela amplitude entre máximo e mínimo, multiplicada por cem. O resultado é um score em que 0 corresponde ao mínimo de referência e 100 ao máximo de referência.</w:t>
      </w:r>
    </w:p>
    <w:bookmarkEnd w:id="46"/>
    <w:bookmarkStart w:id="47" w:name="fronteiras-de-normalização-goalposts"/>
    <w:p>
      <w:pPr>
        <w:pStyle w:val="Heading2"/>
      </w:pPr>
      <w:r>
        <w:t xml:space="preserve">6.2 Fronteiras de normalização (goalposts)</w:t>
      </w:r>
    </w:p>
    <w:p>
      <w:pPr>
        <w:pStyle w:val="FirstParagraph"/>
      </w:pPr>
      <w:r>
        <w:t xml:space="preserve">A escolha das fronteiras — os goalposts — é determinante para o significado dos scores. Todas as fronteiras são definidas por referência a valores externos e normativos: a escala oficial publicada pela fonte (por exemplo, −2,5 a 2,5 nos Worldwide Governance Indicators, ou 0 a 100 no Índice de Percepção da Corrupção), o limite natural da variável (0 a 100 numa percentagem, 0 numa contagem ou numa variável monetária) ou um tecto operacional documentado por referência a metas, pares internacionais e ordem de grandeza observada.</w:t>
      </w:r>
    </w:p>
    <w:p>
      <w:pPr>
        <w:pStyle w:val="BodyText"/>
      </w:pPr>
      <w:r>
        <w:t xml:space="preserve">Na versão v6, três indicadores seleccionados usavam ainda fronteiras derivadas da própria amplitude histórica — o desemprego juvenil, o produto por trabalhador e o tráfego portuário de contentores. Essa opção atribuía, por construção, o score máximo ao melhor ano observado e comprimia a escala, amplificando artificialmente a variação desses indicadores: o desemprego juvenil, com uma banda de apenas 16 pontos percentuais, produzia uma oscilação de 52 pontos de score no período. Na v7 essas três fronteiras foram substituídas por fronteiras normativas (Secção 8.5), eliminando a última fonte de goalposts históricos no índice.</w:t>
      </w:r>
    </w:p>
    <w:bookmarkEnd w:id="47"/>
    <w:bookmarkStart w:id="48" w:name="sentido-dos-indicadores"/>
    <w:p>
      <w:pPr>
        <w:pStyle w:val="Heading2"/>
      </w:pPr>
      <w:r>
        <w:t xml:space="preserve">6.3 Sentido dos indicadores</w:t>
      </w:r>
    </w:p>
    <w:p>
      <w:pPr>
        <w:pStyle w:val="FirstParagraph"/>
      </w:pPr>
      <w:r>
        <w:t xml:space="preserve">Cada indicador tem um sentido, que indica se valores mais altos representam melhor desempenho (sentido positivo) ou pior desempenho (sentido negativo). Para indicadores de sentido negativo — como a inflação, o desemprego, a mortalidade ou as emissões — a normalização é invertida, de modo a que valores mais altos do indicador produzam scores mais baixos. A correcta atribuição do sentido é crítica: um erro de sinal inverteria a leitura de toda uma série. Por exemplo, o Índice de Percepção da Corrupção — cuja escala (0 = muito corrupto, 100 = muito íntegro) é ascendente — tem sentido positivo, para que a melhoria do combate à corrupção seja lida como progresso na dimensão de Governança.</w:t>
      </w:r>
    </w:p>
    <w:bookmarkEnd w:id="48"/>
    <w:bookmarkEnd w:id="49"/>
    <w:bookmarkStart w:id="55" w:name="ponderação-e-agregação"/>
    <w:p>
      <w:pPr>
        <w:pStyle w:val="Heading1"/>
      </w:pPr>
      <w:r>
        <w:t xml:space="preserve">7. Ponderação e agregação</w:t>
      </w:r>
    </w:p>
    <w:bookmarkStart w:id="50" w:name="ponderação"/>
    <w:p>
      <w:pPr>
        <w:pStyle w:val="Heading2"/>
      </w:pPr>
      <w:r>
        <w:t xml:space="preserve">7.1 Ponderação</w:t>
      </w:r>
    </w:p>
    <w:p>
      <w:pPr>
        <w:pStyle w:val="FirstParagraph"/>
      </w:pPr>
      <w:r>
        <w:t xml:space="preserve">Tanto os indicadores dentro de cada dimensão como as dimensões dentro do índice recebem pesos iguais. Esta é a opção por defeito recomendada pelo Handbook da OCDE/JRC quando não existe uma base teórica ou empírica inequívoca para diferenciar pesos, e tem a vantagem decisiva da transparência: qualquer leitor compreende e pode reproduzir o cálculo. É importante sublinhar que pesos iguais não significam contributos iguais quando existem indicadores correlacionados — nesse caso, o conceito sobre-representado seria implicitamente sobreponderado. Por essa razão, a sobreponderação implícita é evitada pela ausência de redundância entre indicadores (Secção 8), e não pela manipulação ad-hoc dos pesos nominais.</w:t>
      </w:r>
    </w:p>
    <w:bookmarkEnd w:id="50"/>
    <w:bookmarkStart w:id="51" w:name="agregação-intra-dimensional"/>
    <w:p>
      <w:pPr>
        <w:pStyle w:val="Heading2"/>
      </w:pPr>
      <w:r>
        <w:t xml:space="preserve">7.2 Agregação intra-dimensional</w:t>
      </w:r>
    </w:p>
    <w:p>
      <w:pPr>
        <w:pStyle w:val="FirstParagraph"/>
      </w:pPr>
      <w:r>
        <w:t xml:space="preserve">Dentro de cada dimensão, o subíndice é a média aritmética ponderada dos scores normalizados dos indicadores disponíveis nesse ano, condicionada ao cumprimento da cobertura mínima. A média aritmética permite, ao nível da dimensão, alguma compensação entre indicadores — um bom desempenho num indicador pode atenuar um desempenho fraco noutro do mesmo tema, o que é aceitável dentro de um conceito coeso.</w:t>
      </w:r>
    </w:p>
    <w:bookmarkEnd w:id="51"/>
    <w:bookmarkStart w:id="52" w:name="agregação-inter-dimensional"/>
    <w:p>
      <w:pPr>
        <w:pStyle w:val="Heading2"/>
      </w:pPr>
      <w:r>
        <w:t xml:space="preserve">7.3 Agregação inter-dimensional</w:t>
      </w:r>
    </w:p>
    <w:p>
      <w:pPr>
        <w:pStyle w:val="FirstParagraph"/>
      </w:pPr>
      <w:r>
        <w:t xml:space="preserve">Entre dimensões, o índice global é a média geométrica ponderada dos subíndices das dimensões incluídas. A média geométrica é deliberadamente menos compensatória do que a aritmética: penaliza o desequilíbrio entre dimensões, de modo que um valor muito baixo numa dimensão não pode ser plenamente compensado por valores altos noutras. Esta propriedade traduz a ideia de que o desenvolvimento exige progresso em várias frentes em simultâneo e que défices severos numa dimensão não devem ser ocultados pela agregação.</w:t>
      </w:r>
    </w:p>
    <w:bookmarkEnd w:id="52"/>
    <w:bookmarkStart w:id="53" w:name="X161129212e9a34cafc806910dcd928e56bd5cba"/>
    <w:p>
      <w:pPr>
        <w:pStyle w:val="Heading2"/>
      </w:pPr>
      <w:r>
        <w:t xml:space="preserve">7.4 Justificação da escolha aritmética e geométrica</w:t>
      </w:r>
    </w:p>
    <w:p>
      <w:pPr>
        <w:pStyle w:val="FirstParagraph"/>
      </w:pPr>
      <w:r>
        <w:t xml:space="preserve">A combinação de média aritmética dentro das dimensões e média geométrica entre dimensões segue o desenho adoptado pelo Índice de Desenvolvimento Humano desde 2010. Reflecte um juízo substantivo: a substituibilidade é razoável entre indicadores de um mesmo tema, mas não entre pilares distintos do desenvolvimento. A média geométrica entre dimensões introduz ainda uma penalização natural da desigualdade entre dimensões, coerente com o quadro conceptual da Secção 2.</w:t>
      </w:r>
    </w:p>
    <w:bookmarkEnd w:id="53"/>
    <w:bookmarkStart w:id="54" w:name="regras-de-inclusão"/>
    <w:p>
      <w:pPr>
        <w:pStyle w:val="Heading2"/>
      </w:pPr>
      <w:r>
        <w:t xml:space="preserve">7.5 Regras de inclusão</w:t>
      </w:r>
    </w:p>
    <w:p>
      <w:pPr>
        <w:pStyle w:val="FirstParagraph"/>
      </w:pPr>
      <w:r>
        <w:t xml:space="preserve">A agregação respeita as regras de cobertura descritas na Secção 5: um subíndice só entra no cálculo do IGDA se cumprir a sua cobertura mínima, e o IGDA só é calculado se pelo menos quatro subíndices estiverem disponíveis. Na configuração actual, as oito dimensões activas são calculáveis em todos os anos do período, pelo que o IGDA é estimado de forma consistente ao longo de todo o intervalo 2015–2025.</w:t>
      </w:r>
    </w:p>
    <w:bookmarkEnd w:id="54"/>
    <w:bookmarkEnd w:id="55"/>
    <w:bookmarkStart w:id="61" w:name="configuração-final-do-índice"/>
    <w:p>
      <w:pPr>
        <w:pStyle w:val="Heading1"/>
      </w:pPr>
      <w:r>
        <w:t xml:space="preserve">8. Configuração final do índice</w:t>
      </w:r>
    </w:p>
    <w:bookmarkStart w:id="56" w:name="composição"/>
    <w:p>
      <w:pPr>
        <w:pStyle w:val="Heading2"/>
      </w:pPr>
      <w:r>
        <w:t xml:space="preserve">8.1 Composição</w:t>
      </w:r>
    </w:p>
    <w:p>
      <w:pPr>
        <w:pStyle w:val="FirstParagraph"/>
      </w:pPr>
      <w:r>
        <w:t xml:space="preserve">O índice final reúne quarenta e um indicadores distribuídos pelas oito dimensões activas: cinco em Governança, sete em Macroeconomia, quatro em Capital Humano, três em Inclusão Social, cinco em Infraestruturas, cinco em Mercado de Trabalho, sete em Segurança Alimentar e Saúde e cinco em Diversificação. A selecção resulta do ranking automático por dimensão, complementado por uma curadoria que assegura a não-redundância e a coerência dos sentidos.</w:t>
      </w:r>
    </w:p>
    <w:bookmarkEnd w:id="56"/>
    <w:bookmarkStart w:id="57" w:name="não-redundância"/>
    <w:p>
      <w:pPr>
        <w:pStyle w:val="Heading2"/>
      </w:pPr>
      <w:r>
        <w:t xml:space="preserve">8.2 Não-redundância</w:t>
      </w:r>
    </w:p>
    <w:p>
      <w:pPr>
        <w:pStyle w:val="FirstParagraph"/>
      </w:pPr>
      <w:r>
        <w:t xml:space="preserve">Para evitar a sobreponderação implícita de conceitos repetidos (que, com pesos iguais, distorceria o índice), a selecção final observa as seguintes opções de não-redundância:</w:t>
      </w:r>
    </w:p>
    <w:p>
      <w:pPr>
        <w:numPr>
          <w:ilvl w:val="0"/>
          <w:numId w:val="1004"/>
        </w:numPr>
      </w:pPr>
      <w:r>
        <w:rPr>
          <w:bCs/>
          <w:b/>
        </w:rPr>
        <w:t xml:space="preserve">Compósitos e componentes.</w:t>
      </w:r>
      <w:r>
        <w:rPr>
          <w:bCs/>
          <w:b/>
        </w:rPr>
        <w:t xml:space="preserve"> </w:t>
      </w:r>
      <w:r>
        <w:t xml:space="preserve">não se incluem simultaneamente um índice compósito e as suas próprias componentes; por exemplo, a esperança de vida e a escolaridade entram directamente, sem um índice de desenvolvimento humano agregado.</w:t>
      </w:r>
    </w:p>
    <w:p>
      <w:pPr>
        <w:numPr>
          <w:ilvl w:val="0"/>
          <w:numId w:val="1004"/>
        </w:numPr>
      </w:pPr>
      <w:r>
        <w:rPr>
          <w:bCs/>
          <w:b/>
        </w:rPr>
        <w:t xml:space="preserve">Mortalidade infantil.</w:t>
      </w:r>
      <w:r>
        <w:rPr>
          <w:bCs/>
          <w:b/>
        </w:rPr>
        <w:t xml:space="preserve"> </w:t>
      </w:r>
      <w:r>
        <w:t xml:space="preserve">a mortalidade infantil é representada em Capital Humano e a de menores de cinco anos em Saúde, sem duplicar séries quase idênticas.</w:t>
      </w:r>
    </w:p>
    <w:p>
      <w:pPr>
        <w:numPr>
          <w:ilvl w:val="0"/>
          <w:numId w:val="1004"/>
        </w:numPr>
      </w:pPr>
      <w:r>
        <w:rPr>
          <w:bCs/>
          <w:b/>
        </w:rPr>
        <w:t xml:space="preserve">Capacidades produtivas.</w:t>
      </w:r>
      <w:r>
        <w:rPr>
          <w:bCs/>
          <w:b/>
        </w:rPr>
        <w:t xml:space="preserve"> </w:t>
      </w:r>
      <w:r>
        <w:t xml:space="preserve">utiliza-se um único índice de capacidades produtivas da UNCTAD (o índice geral), evitando somar sub-índices correlacionados do mesmo compósito.</w:t>
      </w:r>
    </w:p>
    <w:p>
      <w:pPr>
        <w:numPr>
          <w:ilvl w:val="0"/>
          <w:numId w:val="1004"/>
        </w:numPr>
      </w:pPr>
      <w:r>
        <w:rPr>
          <w:bCs/>
          <w:b/>
        </w:rPr>
        <w:t xml:space="preserve">Governança.</w:t>
      </w:r>
      <w:r>
        <w:rPr>
          <w:bCs/>
          <w:b/>
        </w:rPr>
        <w:t xml:space="preserve"> </w:t>
      </w:r>
      <w:r>
        <w:t xml:space="preserve">o combate à corrupção é captado pelo Índice de Percepção da Corrupção, complementado por indicadores institucionais distintos, sem sobrepor duas medidas do mesmo fenómeno.</w:t>
      </w:r>
    </w:p>
    <w:p>
      <w:pPr>
        <w:numPr>
          <w:ilvl w:val="0"/>
          <w:numId w:val="1004"/>
        </w:numPr>
      </w:pPr>
      <w:r>
        <w:rPr>
          <w:bCs/>
          <w:b/>
        </w:rPr>
        <w:t xml:space="preserve">Sobreposições ligeiras.</w:t>
      </w:r>
      <w:r>
        <w:rPr>
          <w:bCs/>
          <w:b/>
        </w:rPr>
        <w:t xml:space="preserve"> </w:t>
      </w:r>
      <w:r>
        <w:t xml:space="preserve">algumas medidas próximas coexistem em dimensões distintas (o rendimento por habitante, em Macroeconomia e em Inclusão Social; o crescimento não petrolífero, em Macroeconomia e em Diversificação), por captarem vertentes diferentes e não comprometerem a leitura da evolução do índice.</w:t>
      </w:r>
    </w:p>
    <w:bookmarkEnd w:id="57"/>
    <w:bookmarkStart w:id="58" w:name="coerência-dos-sentidos"/>
    <w:p>
      <w:pPr>
        <w:pStyle w:val="Heading2"/>
      </w:pPr>
      <w:r>
        <w:t xml:space="preserve">8.3 Coerência dos sentidos</w:t>
      </w:r>
    </w:p>
    <w:p>
      <w:pPr>
        <w:pStyle w:val="FirstParagraph"/>
      </w:pPr>
      <w:r>
        <w:t xml:space="preserve">Cada indicador tem o sentido coerente com a sua escala, para que melhorias reais sejam lidas como progresso. Por exemplo, o Índice de Percepção da Corrupção (0 = muito corrupto, 100 = muito íntegro) tem sentido positivo; a subida do CPI de Angola de cerca de 15, em 2015, para 32, em 2024, traduz-se, correctamente, numa melhoria da dimensão de Governança (+5,8 pontos no período).</w:t>
      </w:r>
    </w:p>
    <w:bookmarkEnd w:id="58"/>
    <w:bookmarkStart w:id="59" w:name="comparabilidade-ao-longo-do-tempo"/>
    <w:p>
      <w:pPr>
        <w:pStyle w:val="Heading2"/>
      </w:pPr>
      <w:r>
        <w:t xml:space="preserve">8.4 Comparabilidade ao longo do tempo</w:t>
      </w:r>
    </w:p>
    <w:p>
      <w:pPr>
        <w:pStyle w:val="FirstParagraph"/>
      </w:pPr>
      <w:r>
        <w:t xml:space="preserve">As fronteiras de normalização são fixas por indicador e os sentidos são coerentes com cada escala. Em consequência, um mesmo valor tem o mesmo significado em qualquer ano, e o índice pode ser lido com segurança em termos de evolução: subidas indicam melhoria e descidas indicam deterioração, tanto no IGDA global como em cada dimensão. Algumas limitações — dimensões ainda inactivas, menor cobertura da Inclusão Social e provisoriedade do último ano — são discutidas na Secção 9 e afectam sobretudo o nível absoluto, não a leitura da tendência.</w:t>
      </w:r>
    </w:p>
    <w:bookmarkEnd w:id="59"/>
    <w:bookmarkStart w:id="60" w:name="revisão-v6-v7-fronteiras-normativas"/>
    <w:p>
      <w:pPr>
        <w:pStyle w:val="Heading2"/>
      </w:pPr>
      <w:r>
        <w:t xml:space="preserve">8.5 Revisão v6 → v7: fronteiras normativas</w:t>
      </w:r>
    </w:p>
    <w:p>
      <w:pPr>
        <w:pStyle w:val="FirstParagraph"/>
      </w:pPr>
      <w:r>
        <w:t xml:space="preserve">A revisão v7 incidiu exclusivamente sobre as três fronteiras de base histórica identificadas como limitação na v6. Nenhum indicador foi acrescentado ou retirado, nenhum peso foi alterado e nenhuma regra de agregação foi modificada.</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Indicador</w:t>
            </w:r>
          </w:p>
        </w:tc>
        <w:tc>
          <w:tcPr/>
          <w:p>
            <w:pPr>
              <w:pStyle w:val="Compact"/>
              <w:jc w:val="left"/>
            </w:pPr>
            <w:r>
              <w:rPr>
                <w:bCs/>
                <w:b/>
              </w:rPr>
              <w:t xml:space="preserve">Fronteiras v6</w:t>
            </w:r>
          </w:p>
        </w:tc>
        <w:tc>
          <w:tcPr/>
          <w:p>
            <w:pPr>
              <w:pStyle w:val="Compact"/>
              <w:jc w:val="left"/>
            </w:pPr>
            <w:r>
              <w:rPr>
                <w:bCs/>
                <w:b/>
              </w:rPr>
              <w:t xml:space="preserve">Fronteiras v7</w:t>
            </w:r>
          </w:p>
        </w:tc>
        <w:tc>
          <w:tcPr/>
          <w:p>
            <w:pPr>
              <w:pStyle w:val="Compact"/>
              <w:jc w:val="left"/>
            </w:pPr>
            <w:r>
              <w:rPr>
                <w:bCs/>
                <w:b/>
              </w:rPr>
              <w:t xml:space="preserve">Fundamento</w:t>
            </w:r>
          </w:p>
        </w:tc>
      </w:tr>
      <w:tr>
        <w:tc>
          <w:tcPr/>
          <w:p>
            <w:pPr>
              <w:pStyle w:val="Compact"/>
              <w:jc w:val="left"/>
            </w:pPr>
            <w:r>
              <w:t xml:space="preserve">Desemprego Juvenil (LAB003)</w:t>
            </w:r>
          </w:p>
        </w:tc>
        <w:tc>
          <w:tcPr/>
          <w:p>
            <w:pPr>
              <w:pStyle w:val="Compact"/>
              <w:jc w:val="left"/>
            </w:pPr>
            <w:r>
              <w:t xml:space="preserve">24,9 – 40,9</w:t>
            </w:r>
          </w:p>
        </w:tc>
        <w:tc>
          <w:tcPr/>
          <w:p>
            <w:pPr>
              <w:pStyle w:val="Compact"/>
              <w:jc w:val="left"/>
            </w:pPr>
            <w:r>
              <w:t xml:space="preserve">0 – 50</w:t>
            </w:r>
          </w:p>
        </w:tc>
        <w:tc>
          <w:tcPr/>
          <w:p>
            <w:pPr>
              <w:pStyle w:val="Compact"/>
              <w:jc w:val="left"/>
            </w:pPr>
            <w:r>
              <w:t xml:space="preserve">Intervalo natural de uma percentagem, truncado a 50%, coerente com a Taxa de Desemprego (LAB002)</w:t>
            </w:r>
          </w:p>
        </w:tc>
      </w:tr>
      <w:tr>
        <w:tc>
          <w:tcPr/>
          <w:p>
            <w:pPr>
              <w:pStyle w:val="Compact"/>
              <w:jc w:val="left"/>
            </w:pPr>
            <w:r>
              <w:t xml:space="preserve">Produto por trabalhador (LAB025)</w:t>
            </w:r>
          </w:p>
        </w:tc>
        <w:tc>
          <w:tcPr/>
          <w:p>
            <w:pPr>
              <w:pStyle w:val="Compact"/>
              <w:jc w:val="left"/>
            </w:pPr>
            <w:r>
              <w:t xml:space="preserve">4 930 – 10 000</w:t>
            </w:r>
          </w:p>
        </w:tc>
        <w:tc>
          <w:tcPr/>
          <w:p>
            <w:pPr>
              <w:pStyle w:val="Compact"/>
              <w:jc w:val="left"/>
            </w:pPr>
            <w:r>
              <w:t xml:space="preserve">0 – 25 000</w:t>
            </w:r>
          </w:p>
        </w:tc>
        <w:tc>
          <w:tcPr/>
          <w:p>
            <w:pPr>
              <w:pStyle w:val="Compact"/>
              <w:jc w:val="left"/>
            </w:pPr>
            <w:r>
              <w:t xml:space="preserve">Piso natural de variável monetária; tecto no patamar de produtividade de economias de rendimento médio-alto</w:t>
            </w:r>
          </w:p>
        </w:tc>
      </w:tr>
      <w:tr>
        <w:tc>
          <w:tcPr/>
          <w:p>
            <w:pPr>
              <w:pStyle w:val="Compact"/>
              <w:jc w:val="left"/>
            </w:pPr>
            <w:r>
              <w:t xml:space="preserve">Tráfego portuário (INF024)</w:t>
            </w:r>
          </w:p>
        </w:tc>
        <w:tc>
          <w:tcPr/>
          <w:p>
            <w:pPr>
              <w:pStyle w:val="Compact"/>
              <w:jc w:val="left"/>
            </w:pPr>
            <w:r>
              <w:t xml:space="preserve">455 000 – 1 130 000</w:t>
            </w:r>
          </w:p>
        </w:tc>
        <w:tc>
          <w:tcPr/>
          <w:p>
            <w:pPr>
              <w:pStyle w:val="Compact"/>
              <w:jc w:val="left"/>
            </w:pPr>
            <w:r>
              <w:t xml:space="preserve">0 – 1 500 000</w:t>
            </w:r>
          </w:p>
        </w:tc>
        <w:tc>
          <w:tcPr/>
          <w:p>
            <w:pPr>
              <w:pStyle w:val="Compact"/>
              <w:jc w:val="left"/>
            </w:pPr>
            <w:r>
              <w:t xml:space="preserve">Piso natural de uma contagem; tecto operacional pela ordem de grandeza regional</w:t>
            </w:r>
          </w:p>
        </w:tc>
      </w:tr>
    </w:tbl>
    <w:p>
      <w:pPr>
        <w:pStyle w:val="BodyText"/>
      </w:pPr>
      <w:r>
        <w:t xml:space="preserve">O efeito é contido e circunscrito às duas dimensões afectadas. O IGDA global desce menos de um ponto em qualquer ano do período e a tendência reforça-se ligeiramente, de +3,2 para +3,4 pontos. O Mercado de Trabalho corrige de 66,0 para 56,2 em 2025 — o valor anterior estava inflacionado pela compressão da escala do desemprego juvenil — e as Infraestruturas passam de 48,0 para 49,9. As restantes seis dimensões mantêm-se inalteradas.</w:t>
      </w:r>
    </w:p>
    <w:bookmarkEnd w:id="60"/>
    <w:bookmarkEnd w:id="61"/>
    <w:bookmarkStart w:id="65" w:name="pressupostos-e-limitações"/>
    <w:p>
      <w:pPr>
        <w:pStyle w:val="Heading1"/>
      </w:pPr>
      <w:r>
        <w:t xml:space="preserve">9. Pressupostos e limitações</w:t>
      </w:r>
    </w:p>
    <w:bookmarkStart w:id="62" w:name="pressupostos-centrais"/>
    <w:p>
      <w:pPr>
        <w:pStyle w:val="Heading2"/>
      </w:pPr>
      <w:r>
        <w:t xml:space="preserve">9.1 Pressupostos centrais</w:t>
      </w:r>
    </w:p>
    <w:p>
      <w:pPr>
        <w:pStyle w:val="FirstParagraph"/>
      </w:pPr>
      <w:r>
        <w:t xml:space="preserve">A interpretação do índice depende de um conjunto de pressupostos explícitos:</w:t>
      </w:r>
    </w:p>
    <w:p>
      <w:pPr>
        <w:numPr>
          <w:ilvl w:val="0"/>
          <w:numId w:val="1005"/>
        </w:numPr>
      </w:pPr>
      <w:r>
        <w:t xml:space="preserve">A escolha das oito dimensões activas representa adequadamente o conceito multidimensional de desenvolvimento adoptado.</w:t>
      </w:r>
    </w:p>
    <w:p>
      <w:pPr>
        <w:numPr>
          <w:ilvl w:val="0"/>
          <w:numId w:val="1005"/>
        </w:numPr>
      </w:pPr>
      <w:r>
        <w:t xml:space="preserve">Pesos iguais são uma aproximação aceitável na ausência de uma base inequívoca para diferenciar a importância de indicadores e dimensões.</w:t>
      </w:r>
    </w:p>
    <w:p>
      <w:pPr>
        <w:numPr>
          <w:ilvl w:val="0"/>
          <w:numId w:val="1005"/>
        </w:numPr>
      </w:pPr>
      <w:r>
        <w:t xml:space="preserve">A substituibilidade é razoável entre indicadores de uma mesma dimensão, mas limitada entre dimensões — pressuposto materializado na escolha das funções de agregação.</w:t>
      </w:r>
    </w:p>
    <w:p>
      <w:pPr>
        <w:numPr>
          <w:ilvl w:val="0"/>
          <w:numId w:val="1005"/>
        </w:numPr>
      </w:pPr>
      <w:r>
        <w:t xml:space="preserve">A imputação conservadora de lacunas, dentro dos limites fixados, não distorce materialmente os resultados.</w:t>
      </w:r>
    </w:p>
    <w:bookmarkEnd w:id="62"/>
    <w:bookmarkStart w:id="63" w:name="limitações-de-dados"/>
    <w:p>
      <w:pPr>
        <w:pStyle w:val="Heading2"/>
      </w:pPr>
      <w:r>
        <w:t xml:space="preserve">9.2 Limitações de dados</w:t>
      </w:r>
    </w:p>
    <w:p>
      <w:pPr>
        <w:numPr>
          <w:ilvl w:val="0"/>
          <w:numId w:val="1006"/>
        </w:numPr>
      </w:pPr>
      <w:r>
        <w:rPr>
          <w:bCs/>
          <w:b/>
        </w:rPr>
        <w:t xml:space="preserve">Anos recentes provisórios.</w:t>
      </w:r>
      <w:r>
        <w:rPr>
          <w:bCs/>
          <w:b/>
        </w:rPr>
        <w:t xml:space="preserve"> </w:t>
      </w:r>
      <w:r>
        <w:t xml:space="preserve">Pouco mais de metade dos indicadores (vinte e dois em quarenta e um) chega a 2025; o último ano assenta em parte em extrapolação e deve ser lido como provisório.</w:t>
      </w:r>
    </w:p>
    <w:p>
      <w:pPr>
        <w:numPr>
          <w:ilvl w:val="0"/>
          <w:numId w:val="1006"/>
        </w:numPr>
      </w:pPr>
      <w:r>
        <w:rPr>
          <w:bCs/>
          <w:b/>
        </w:rPr>
        <w:t xml:space="preserve">Lacunas em Inclusão.</w:t>
      </w:r>
      <w:r>
        <w:rPr>
          <w:bCs/>
          <w:b/>
        </w:rPr>
        <w:t xml:space="preserve"> </w:t>
      </w:r>
      <w:r>
        <w:t xml:space="preserve">a dimensão de Inclusão Social e Protecção conta apenas com três indicadores; faltam medidas elegíveis de pobreza monetária, de coeficiente de Gini e de protecção social, o que limita a sua representatividade.</w:t>
      </w:r>
    </w:p>
    <w:p>
      <w:pPr>
        <w:numPr>
          <w:ilvl w:val="0"/>
          <w:numId w:val="1006"/>
        </w:numPr>
      </w:pPr>
      <w:r>
        <w:rPr>
          <w:bCs/>
          <w:b/>
        </w:rPr>
        <w:t xml:space="preserve">Dependência de estimativas internacionais.</w:t>
      </w:r>
      <w:r>
        <w:rPr>
          <w:bCs/>
          <w:b/>
        </w:rPr>
        <w:t xml:space="preserve"> </w:t>
      </w:r>
      <w:r>
        <w:t xml:space="preserve">Vários indicadores provêm de modelações de organismos internacionais e não de registos administrativos nacionais, o que pode introduzir desfasamentos face à realidade observada no país.</w:t>
      </w:r>
    </w:p>
    <w:bookmarkEnd w:id="63"/>
    <w:bookmarkStart w:id="64" w:name="limitações-metodológicas"/>
    <w:p>
      <w:pPr>
        <w:pStyle w:val="Heading2"/>
      </w:pPr>
      <w:r>
        <w:t xml:space="preserve">9.3 Limitações metodológicas</w:t>
      </w:r>
    </w:p>
    <w:p>
      <w:pPr>
        <w:numPr>
          <w:ilvl w:val="0"/>
          <w:numId w:val="1007"/>
        </w:numPr>
      </w:pPr>
      <w:r>
        <w:rPr>
          <w:bCs/>
          <w:b/>
        </w:rPr>
        <w:t xml:space="preserve">Níveis não comparáveis entre dimensões.</w:t>
      </w:r>
      <w:r>
        <w:rPr>
          <w:bCs/>
          <w:b/>
        </w:rPr>
        <w:t xml:space="preserve"> </w:t>
      </w:r>
      <w:r>
        <w:t xml:space="preserve">Cada indicador é normalizado contra as suas próprias fronteiras, cuja amplitude útil varia substancialmente: Angola ocupa entre 5% e 10% da escala oficial dos Worldwide Governance Indicators e cerca de 40% da escala de vários indicadores macroeconómicos. Em consequência, um subíndice mais alto do que outro não significa melhor desempenho relativo — significa apenas uma posição mais alta na escala própria dessa dimensão. Os subíndices devem ser lidos face à sua própria trajectória no tempo (Secção 10.4); a comparação de níveis entre dimensões exigiria um referencial externo comum, como a distribuição observada num grupo de países pares, identificado na Secção 11 como desenvolvimento futuro.</w:t>
      </w:r>
    </w:p>
    <w:p>
      <w:pPr>
        <w:numPr>
          <w:ilvl w:val="0"/>
          <w:numId w:val="1007"/>
        </w:numPr>
      </w:pPr>
      <w:r>
        <w:rPr>
          <w:bCs/>
          <w:b/>
        </w:rPr>
        <w:t xml:space="preserve">Sensibilidade às escolhas de desenho.</w:t>
      </w:r>
      <w:r>
        <w:rPr>
          <w:bCs/>
          <w:b/>
        </w:rPr>
        <w:t xml:space="preserve"> </w:t>
      </w:r>
      <w:r>
        <w:t xml:space="preserve">Como qualquer índice compósito, o IGDA é sensível às opções de selecção, normalização, ponderação e agregação. A quantificação dessa sensibilidade — passo 7 do quadro da OCDE — está identificada como desenvolvimento prioritário (Secção 11).</w:t>
      </w:r>
    </w:p>
    <w:bookmarkEnd w:id="64"/>
    <w:bookmarkEnd w:id="65"/>
    <w:bookmarkStart w:id="70" w:name="interpretação-dos-resultados"/>
    <w:p>
      <w:pPr>
        <w:pStyle w:val="Heading1"/>
      </w:pPr>
      <w:r>
        <w:t xml:space="preserve">10. Interpretação dos resultados</w:t>
      </w:r>
    </w:p>
    <w:bookmarkStart w:id="66" w:name="leitura-da-escala"/>
    <w:p>
      <w:pPr>
        <w:pStyle w:val="Heading2"/>
      </w:pPr>
      <w:r>
        <w:t xml:space="preserve">10.1 Leitura da escala</w:t>
      </w:r>
    </w:p>
    <w:p>
      <w:pPr>
        <w:pStyle w:val="FirstParagraph"/>
      </w:pPr>
      <w:r>
        <w:t xml:space="preserve">O IGDA e cada subíndice variam entre 0 e 100. O valor não tem uma unidade material; deve ser lido em termos relativos, face às fronteiras de normalização, à evolução temporal e à comparação entre dimensões. Subidas e descidas ao longo do tempo, e diferenças entre dimensões num mesmo ano, são mais informativas do que o nível absoluto isolado.</w:t>
      </w:r>
    </w:p>
    <w:bookmarkEnd w:id="66"/>
    <w:bookmarkStart w:id="67" w:name="bandas-de-classificação"/>
    <w:p>
      <w:pPr>
        <w:pStyle w:val="Heading2"/>
      </w:pPr>
      <w:r>
        <w:t xml:space="preserve">10.2 Bandas de classificação</w:t>
      </w:r>
    </w:p>
    <w:p>
      <w:pPr>
        <w:pStyle w:val="FirstParagraph"/>
      </w:pPr>
      <w:r>
        <w:t xml:space="preserve">Para facilitar a comunicação, os valores são classificados em cinco bandas qualitativas: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Intervalo do score</w:t>
            </w:r>
          </w:p>
        </w:tc>
        <w:tc>
          <w:tcPr/>
          <w:p>
            <w:pPr>
              <w:pStyle w:val="Compact"/>
              <w:jc w:val="left"/>
            </w:pPr>
            <w:r>
              <w:rPr>
                <w:bCs/>
                <w:b/>
              </w:rPr>
              <w:t xml:space="preserve">Classificação</w:t>
            </w:r>
          </w:p>
        </w:tc>
      </w:tr>
      <w:tr>
        <w:tc>
          <w:tcPr/>
          <w:p>
            <w:pPr>
              <w:pStyle w:val="Compact"/>
              <w:jc w:val="left"/>
            </w:pPr>
            <w:r>
              <w:t xml:space="preserve">80–100</w:t>
            </w:r>
          </w:p>
        </w:tc>
        <w:tc>
          <w:tcPr/>
          <w:p>
            <w:pPr>
              <w:pStyle w:val="Compact"/>
              <w:jc w:val="left"/>
            </w:pPr>
            <w:r>
              <w:t xml:space="preserve">Muito Elevado</w:t>
            </w:r>
          </w:p>
        </w:tc>
      </w:tr>
      <w:tr>
        <w:tc>
          <w:tcPr/>
          <w:p>
            <w:pPr>
              <w:pStyle w:val="Compact"/>
              <w:jc w:val="left"/>
            </w:pPr>
            <w:r>
              <w:t xml:space="preserve">60–80</w:t>
            </w:r>
          </w:p>
        </w:tc>
        <w:tc>
          <w:tcPr/>
          <w:p>
            <w:pPr>
              <w:pStyle w:val="Compact"/>
              <w:jc w:val="left"/>
            </w:pPr>
            <w:r>
              <w:t xml:space="preserve">Elevado</w:t>
            </w:r>
          </w:p>
        </w:tc>
      </w:tr>
      <w:tr>
        <w:tc>
          <w:tcPr/>
          <w:p>
            <w:pPr>
              <w:pStyle w:val="Compact"/>
              <w:jc w:val="left"/>
            </w:pPr>
            <w:r>
              <w:t xml:space="preserve">40–60</w:t>
            </w:r>
          </w:p>
        </w:tc>
        <w:tc>
          <w:tcPr/>
          <w:p>
            <w:pPr>
              <w:pStyle w:val="Compact"/>
              <w:jc w:val="left"/>
            </w:pPr>
            <w:r>
              <w:t xml:space="preserve">Médio</w:t>
            </w:r>
          </w:p>
        </w:tc>
      </w:tr>
      <w:tr>
        <w:tc>
          <w:tcPr/>
          <w:p>
            <w:pPr>
              <w:pStyle w:val="Compact"/>
              <w:jc w:val="left"/>
            </w:pPr>
            <w:r>
              <w:t xml:space="preserve">20–40</w:t>
            </w:r>
          </w:p>
        </w:tc>
        <w:tc>
          <w:tcPr/>
          <w:p>
            <w:pPr>
              <w:pStyle w:val="Compact"/>
              <w:jc w:val="left"/>
            </w:pPr>
            <w:r>
              <w:t xml:space="preserve">Baixo</w:t>
            </w:r>
          </w:p>
        </w:tc>
      </w:tr>
      <w:tr>
        <w:tc>
          <w:tcPr/>
          <w:p>
            <w:pPr>
              <w:pStyle w:val="Compact"/>
              <w:jc w:val="left"/>
            </w:pPr>
            <w:r>
              <w:t xml:space="preserve">0–20</w:t>
            </w:r>
          </w:p>
        </w:tc>
        <w:tc>
          <w:tcPr/>
          <w:p>
            <w:pPr>
              <w:pStyle w:val="Compact"/>
              <w:jc w:val="left"/>
            </w:pPr>
            <w:r>
              <w:t xml:space="preserve">Muito Baixo</w:t>
            </w:r>
          </w:p>
        </w:tc>
      </w:tr>
    </w:tbl>
    <w:bookmarkEnd w:id="67"/>
    <w:bookmarkStart w:id="68" w:name="série-de-referência-20152025"/>
    <w:p>
      <w:pPr>
        <w:pStyle w:val="Heading2"/>
      </w:pPr>
      <w:r>
        <w:t xml:space="preserve">10.3 Série de referência (2015–2025)</w:t>
      </w:r>
    </w:p>
    <w:p>
      <w:pPr>
        <w:pStyle w:val="FirstParagraph"/>
      </w:pPr>
      <w:r>
        <w:t xml:space="preserve">Nesta versão, e tratando 2025 como provisório, o índice global apresenta a seguinte trajectória — ascendente no conjunto do período —, com as oito dimensões activas a contribuir em todos os anos:</w:t>
      </w:r>
    </w:p>
    <w:tbl>
      <w:tblPr>
        <w:tblStyle w:val="Table"/>
        <w:tblW w:type="pct" w:w="5000"/>
        <w:tblLook w:firstRow="1" w:lastRow="0" w:firstColumn="0" w:lastColumn="0" w:noHBand="0" w:noVBand="0" w:val="0020"/>
        <w:jc w:val="start"/>
      </w:tblPr>
      <w:tblGrid>
        <w:gridCol w:w="719"/>
        <w:gridCol w:w="719"/>
        <w:gridCol w:w="719"/>
        <w:gridCol w:w="719"/>
        <w:gridCol w:w="719"/>
        <w:gridCol w:w="719"/>
        <w:gridCol w:w="719"/>
        <w:gridCol w:w="719"/>
        <w:gridCol w:w="719"/>
        <w:gridCol w:w="719"/>
        <w:gridCol w:w="719"/>
      </w:tblGrid>
      <w:tr>
        <w:trPr>
          <w:tblHeader w:val="true"/>
        </w:trPr>
        <w:tc>
          <w:tcPr/>
          <w:p>
            <w:pPr>
              <w:pStyle w:val="Compact"/>
              <w:jc w:val="left"/>
            </w:pPr>
            <w:r>
              <w:rPr>
                <w:bCs/>
                <w:b/>
              </w:rPr>
              <w:t xml:space="preserve">2015</w:t>
            </w:r>
          </w:p>
        </w:tc>
        <w:tc>
          <w:tcPr/>
          <w:p>
            <w:pPr>
              <w:pStyle w:val="Compact"/>
              <w:jc w:val="left"/>
            </w:pPr>
            <w:r>
              <w:rPr>
                <w:bCs/>
                <w:b/>
              </w:rPr>
              <w:t xml:space="preserve">2016</w:t>
            </w:r>
          </w:p>
        </w:tc>
        <w:tc>
          <w:tcPr/>
          <w:p>
            <w:pPr>
              <w:pStyle w:val="Compact"/>
              <w:jc w:val="left"/>
            </w:pPr>
            <w:r>
              <w:rPr>
                <w:bCs/>
                <w:b/>
              </w:rPr>
              <w:t xml:space="preserve">2017</w:t>
            </w:r>
          </w:p>
        </w:tc>
        <w:tc>
          <w:tcPr/>
          <w:p>
            <w:pPr>
              <w:pStyle w:val="Compact"/>
              <w:jc w:val="left"/>
            </w:pPr>
            <w:r>
              <w:rPr>
                <w:bCs/>
                <w:b/>
              </w:rPr>
              <w:t xml:space="preserve">2018</w:t>
            </w:r>
          </w:p>
        </w:tc>
        <w:tc>
          <w:tcPr/>
          <w:p>
            <w:pPr>
              <w:pStyle w:val="Compact"/>
              <w:jc w:val="left"/>
            </w:pPr>
            <w:r>
              <w:rPr>
                <w:bCs/>
                <w:b/>
              </w:rPr>
              <w:t xml:space="preserve">2019</w:t>
            </w:r>
          </w:p>
        </w:tc>
        <w:tc>
          <w:tcPr/>
          <w:p>
            <w:pPr>
              <w:pStyle w:val="Compact"/>
              <w:jc w:val="left"/>
            </w:pPr>
            <w:r>
              <w:rPr>
                <w:bCs/>
                <w:b/>
              </w:rPr>
              <w:t xml:space="preserve">2020</w:t>
            </w:r>
          </w:p>
        </w:tc>
        <w:tc>
          <w:tcPr/>
          <w:p>
            <w:pPr>
              <w:pStyle w:val="Compact"/>
              <w:jc w:val="left"/>
            </w:pPr>
            <w:r>
              <w:rPr>
                <w:bCs/>
                <w:b/>
              </w:rPr>
              <w:t xml:space="preserve">2021</w:t>
            </w:r>
          </w:p>
        </w:tc>
        <w:tc>
          <w:tcPr/>
          <w:p>
            <w:pPr>
              <w:pStyle w:val="Compact"/>
              <w:jc w:val="left"/>
            </w:pPr>
            <w:r>
              <w:rPr>
                <w:bCs/>
                <w:b/>
              </w:rPr>
              <w:t xml:space="preserve">2022</w:t>
            </w:r>
          </w:p>
        </w:tc>
        <w:tc>
          <w:tcPr/>
          <w:p>
            <w:pPr>
              <w:pStyle w:val="Compact"/>
              <w:jc w:val="left"/>
            </w:pPr>
            <w:r>
              <w:rPr>
                <w:bCs/>
                <w:b/>
              </w:rPr>
              <w:t xml:space="preserve">2023</w:t>
            </w:r>
          </w:p>
        </w:tc>
        <w:tc>
          <w:tcPr/>
          <w:p>
            <w:pPr>
              <w:pStyle w:val="Compact"/>
              <w:jc w:val="left"/>
            </w:pPr>
            <w:r>
              <w:rPr>
                <w:bCs/>
                <w:b/>
              </w:rPr>
              <w:t xml:space="preserve">2024</w:t>
            </w:r>
          </w:p>
        </w:tc>
        <w:tc>
          <w:tcPr/>
          <w:p>
            <w:pPr>
              <w:pStyle w:val="Compact"/>
              <w:jc w:val="left"/>
            </w:pPr>
            <w:r>
              <w:rPr>
                <w:bCs/>
                <w:b/>
              </w:rPr>
              <w:t xml:space="preserve">2025</w:t>
            </w:r>
          </w:p>
        </w:tc>
      </w:tr>
      <w:tr>
        <w:tc>
          <w:tcPr/>
          <w:p>
            <w:pPr>
              <w:pStyle w:val="Compact"/>
              <w:jc w:val="left"/>
            </w:pPr>
            <w:r>
              <w:t xml:space="preserve">42,3</w:t>
            </w:r>
          </w:p>
        </w:tc>
        <w:tc>
          <w:tcPr/>
          <w:p>
            <w:pPr>
              <w:pStyle w:val="Compact"/>
              <w:jc w:val="left"/>
            </w:pPr>
            <w:r>
              <w:t xml:space="preserve">42,6</w:t>
            </w:r>
          </w:p>
        </w:tc>
        <w:tc>
          <w:tcPr/>
          <w:p>
            <w:pPr>
              <w:pStyle w:val="Compact"/>
              <w:jc w:val="left"/>
            </w:pPr>
            <w:r>
              <w:t xml:space="preserve">42,7</w:t>
            </w:r>
          </w:p>
        </w:tc>
        <w:tc>
          <w:tcPr/>
          <w:p>
            <w:pPr>
              <w:pStyle w:val="Compact"/>
              <w:jc w:val="left"/>
            </w:pPr>
            <w:r>
              <w:t xml:space="preserve">42,4</w:t>
            </w:r>
          </w:p>
        </w:tc>
        <w:tc>
          <w:tcPr/>
          <w:p>
            <w:pPr>
              <w:pStyle w:val="Compact"/>
              <w:jc w:val="left"/>
            </w:pPr>
            <w:r>
              <w:t xml:space="preserve">42,6</w:t>
            </w:r>
          </w:p>
        </w:tc>
        <w:tc>
          <w:tcPr/>
          <w:p>
            <w:pPr>
              <w:pStyle w:val="Compact"/>
              <w:jc w:val="left"/>
            </w:pPr>
            <w:r>
              <w:t xml:space="preserve">39,6</w:t>
            </w:r>
          </w:p>
        </w:tc>
        <w:tc>
          <w:tcPr/>
          <w:p>
            <w:pPr>
              <w:pStyle w:val="Compact"/>
              <w:jc w:val="left"/>
            </w:pPr>
            <w:r>
              <w:t xml:space="preserve">43,6</w:t>
            </w:r>
          </w:p>
        </w:tc>
        <w:tc>
          <w:tcPr/>
          <w:p>
            <w:pPr>
              <w:pStyle w:val="Compact"/>
              <w:jc w:val="left"/>
            </w:pPr>
            <w:r>
              <w:t xml:space="preserve">44,3</w:t>
            </w:r>
          </w:p>
        </w:tc>
        <w:tc>
          <w:tcPr/>
          <w:p>
            <w:pPr>
              <w:pStyle w:val="Compact"/>
              <w:jc w:val="left"/>
            </w:pPr>
            <w:r>
              <w:t xml:space="preserve">44,6</w:t>
            </w:r>
          </w:p>
        </w:tc>
        <w:tc>
          <w:tcPr/>
          <w:p>
            <w:pPr>
              <w:pStyle w:val="Compact"/>
              <w:jc w:val="left"/>
            </w:pPr>
            <w:r>
              <w:t xml:space="preserve">45,6</w:t>
            </w:r>
          </w:p>
        </w:tc>
        <w:tc>
          <w:tcPr/>
          <w:p>
            <w:pPr>
              <w:pStyle w:val="Compact"/>
              <w:jc w:val="left"/>
            </w:pPr>
            <w:r>
              <w:t xml:space="preserve">45,7</w:t>
            </w:r>
          </w:p>
        </w:tc>
      </w:tr>
    </w:tbl>
    <w:p>
      <w:pPr>
        <w:pStyle w:val="BodyText"/>
      </w:pPr>
      <w:r>
        <w:t xml:space="preserve">Nota: a última coluna (2025) está assinalada por assentar ainda, em parte, em extrapolação e ter carácter provisório. No conjunto do período, o IGDA sobe de 42,3 (2015) para 45,7 (2025), uma melhoria de 3,4 pontos.</w:t>
      </w:r>
    </w:p>
    <w:p>
      <w:pPr>
        <w:pStyle w:val="BodyText"/>
      </w:pPr>
      <w:r>
        <w:t xml:space="preserve">Por dimensão, entre 2015 e 2025: melhoraram o Capital Humano (+8,6), a Governança (+5,8), a Diversificação (+4,9), as Infraestruturas (+3,7), o Mercado de Trabalho (+1,9) e a Macroeconomia (+0,5); recuaram a Inclusão Social (−1,4) e a Saúde/Segurança Alimentar (−2,2).</w:t>
      </w:r>
    </w:p>
    <w:p>
      <w:pPr>
        <w:pStyle w:val="BodyText"/>
      </w:pPr>
      <w:r>
        <w:t xml:space="preserve">Estas variações são medidas em pontos de score, isto é, na escala própria de cada dimensão. Pela razão exposta na Secção 9.3, não deve retirar-se daqui uma ordenação de desempenho entre dimensões: nem os níveis nem, em rigor, a magnitude das variações são directamente comparáveis, porque a amplitude útil de cada escala difere. A leitura comparável das trajectórias faz-se pela via descrita na Secção 10.4.</w:t>
      </w:r>
    </w:p>
    <w:bookmarkEnd w:id="68"/>
    <w:bookmarkStart w:id="69" w:name="escala-comum-de-evolução-2015-100"/>
    <w:p>
      <w:pPr>
        <w:pStyle w:val="Heading2"/>
      </w:pPr>
      <w:r>
        <w:t xml:space="preserve">10.4 Escala comum de evolução (2015 = 100)</w:t>
      </w:r>
    </w:p>
    <w:p>
      <w:pPr>
        <w:pStyle w:val="FirstParagraph"/>
      </w:pPr>
      <w:r>
        <w:t xml:space="preserve">Para permitir uma comparação legítima entre dimensões, o construtor inclui uma folha que reexprime cada subíndice face ao seu próprio valor de 2015, segundo a expressão Índice(t) = 100 × Subíndice(t) ÷ Subíndice(2015). Por partirem todas do mesmo valor, as trajectórias tornam-se directamente comparáveis, o que os níveis não permitem. É a técnica corrente de rebasing de índices, usada pelo Instituto Nacional de Estatística, pelo Eurostat e pelo Fundo Monetário Internacional.</w:t>
      </w:r>
    </w:p>
    <w:p>
      <w:pPr>
        <w:pStyle w:val="BodyText"/>
      </w:pPr>
      <w:r>
        <w:t xml:space="preserve">Nesta escala, a ordenação inverte-se face à leitura de níveis. A Diversificação, que apresenta o subíndice mais baixo em 2025 (24,9), é a dimensão que mais progrediu no período (+24,4%), seguida da Governança (+21,1%) e do Capital Humano (+17,0%). O Mercado de Trabalho, que apresenta o subíndice mais alto (56,2), é dos que menos avança (+3,5%). Recuam a Inclusão Social (−2,7%) e a Saúde e Segurança Alimentar (−3,8%). O IGDA global progride +8,1%.</w:t>
      </w:r>
    </w:p>
    <w:p>
      <w:pPr>
        <w:pStyle w:val="BodyText"/>
      </w:pPr>
      <w:r>
        <w:t xml:space="preserve">Importa sublinhar o que esta escala permite e o que não permite. Permite comparar ritmos de progresso entre dimensões e identificar quais aceleram ou recuam. Não permite comparar patamares de desenvolvimento: um valor de 124 na Diversificação e de 104 no Mercado de Trabalho significa que a primeira cresceu mais desde 2015, não que se encontre num nível superior.</w:t>
      </w:r>
    </w:p>
    <w:bookmarkEnd w:id="69"/>
    <w:bookmarkEnd w:id="70"/>
    <w:bookmarkStart w:id="71" w:name="X9771eaa25a7e24b7d813bdfb4efec46a8537991"/>
    <w:p>
      <w:pPr>
        <w:pStyle w:val="Heading1"/>
      </w:pPr>
      <w:r>
        <w:t xml:space="preserve">11. Recomendações para desenvolvimento futuro</w:t>
      </w:r>
    </w:p>
    <w:p>
      <w:pPr>
        <w:pStyle w:val="FirstParagraph"/>
      </w:pPr>
      <w:r>
        <w:t xml:space="preserve">O índice está operacional e auditável. As recomendações seguintes constituem o programa de aperfeiçoamento futuro:</w:t>
      </w:r>
    </w:p>
    <w:p>
      <w:pPr>
        <w:numPr>
          <w:ilvl w:val="0"/>
          <w:numId w:val="1008"/>
        </w:numPr>
      </w:pPr>
      <w:r>
        <w:rPr>
          <w:bCs/>
          <w:b/>
        </w:rPr>
        <w:t xml:space="preserve">Adoptar goalposts normativos — concluído na v7.</w:t>
      </w:r>
      <w:r>
        <w:rPr>
          <w:bCs/>
          <w:b/>
        </w:rPr>
        <w:t xml:space="preserve"> </w:t>
      </w:r>
      <w:r>
        <w:t xml:space="preserve">As três fronteiras de base histórica que subsistiam foram substituídas por fronteiras normativas (Secção 8.5). Todos os indicadores do índice usam agora escalas oficiais da fonte, limites naturais ou tectos operacionais documentados.</w:t>
      </w:r>
    </w:p>
    <w:p>
      <w:pPr>
        <w:numPr>
          <w:ilvl w:val="0"/>
          <w:numId w:val="1008"/>
        </w:numPr>
      </w:pPr>
      <w:r>
        <w:rPr>
          <w:bCs/>
          <w:b/>
        </w:rPr>
        <w:t xml:space="preserve">Estabelecer um referencial externo de comparação.</w:t>
      </w:r>
      <w:r>
        <w:rPr>
          <w:bCs/>
          <w:b/>
        </w:rPr>
        <w:t xml:space="preserve"> </w:t>
      </w:r>
      <w:r>
        <w:t xml:space="preserve">Reescalar cada indicador contra a distribuição observada num grupo de países pares (por exemplo, África Subsariana ou rendimento médio-baixo), à maneira da medida de distância à fronteira. É a única via que confere comparabilidade de nível entre dimensões, e exige a importação de dados de referência para os quarenta e um indicadores.</w:t>
      </w:r>
    </w:p>
    <w:p>
      <w:pPr>
        <w:numPr>
          <w:ilvl w:val="0"/>
          <w:numId w:val="1008"/>
        </w:numPr>
      </w:pPr>
      <w:r>
        <w:rPr>
          <w:bCs/>
          <w:b/>
        </w:rPr>
        <w:t xml:space="preserve">Rever a coerência das metas 2027.</w:t>
      </w:r>
      <w:r>
        <w:rPr>
          <w:bCs/>
          <w:b/>
        </w:rPr>
        <w:t xml:space="preserve"> </w:t>
      </w:r>
      <w:r>
        <w:t xml:space="preserve">Dez das metas registadas na base potencial encontravam-se já cumpridas em 2015, algumas admitindo deterioração face ao ponto de partida — a meta de mortalidade materna (300 por 100 mil) é superior ao valor observado nesse ano (249). Enquanto não forem revistas, a coluna de metas não pode servir de âncora a uma escala de progresso.</w:t>
      </w:r>
    </w:p>
    <w:p>
      <w:pPr>
        <w:numPr>
          <w:ilvl w:val="0"/>
          <w:numId w:val="1008"/>
        </w:numPr>
      </w:pPr>
      <w:r>
        <w:rPr>
          <w:bCs/>
          <w:b/>
        </w:rPr>
        <w:t xml:space="preserve">Consolidar os anos recentes.</w:t>
      </w:r>
      <w:r>
        <w:rPr>
          <w:bCs/>
          <w:b/>
        </w:rPr>
        <w:t xml:space="preserve"> </w:t>
      </w:r>
      <w:r>
        <w:t xml:space="preserve">À medida que as fontes publiquem dados definitivos, rever 2024 e 2025 e levantar progressivamente o estatuto de provisório.</w:t>
      </w:r>
    </w:p>
    <w:p>
      <w:pPr>
        <w:numPr>
          <w:ilvl w:val="0"/>
          <w:numId w:val="1008"/>
        </w:numPr>
      </w:pPr>
      <w:r>
        <w:rPr>
          <w:bCs/>
          <w:b/>
        </w:rPr>
        <w:t xml:space="preserve">Colmatar a lacuna de Inclusão.</w:t>
      </w:r>
      <w:r>
        <w:rPr>
          <w:bCs/>
          <w:b/>
        </w:rPr>
        <w:t xml:space="preserve"> </w:t>
      </w:r>
      <w:r>
        <w:t xml:space="preserve">Incorporar, logo que disponíveis e elegíveis, indicadores de pobreza monetária, de coeficiente de Gini e de cobertura de protecção social.</w:t>
      </w:r>
    </w:p>
    <w:p>
      <w:pPr>
        <w:numPr>
          <w:ilvl w:val="0"/>
          <w:numId w:val="1008"/>
        </w:numPr>
      </w:pPr>
      <w:r>
        <w:rPr>
          <w:bCs/>
          <w:b/>
        </w:rPr>
        <w:t xml:space="preserve">Manter a curadoria de não-redundância.</w:t>
      </w:r>
      <w:r>
        <w:rPr>
          <w:bCs/>
          <w:b/>
        </w:rPr>
        <w:t xml:space="preserve"> </w:t>
      </w:r>
      <w:r>
        <w:t xml:space="preserve">em cada actualização, verificar que novos indicadores não reintroduzem sobreposições e que os sentidos (direcção) de cada série permanecem correctos.</w:t>
      </w:r>
    </w:p>
    <w:p>
      <w:pPr>
        <w:numPr>
          <w:ilvl w:val="0"/>
          <w:numId w:val="1008"/>
        </w:numPr>
      </w:pPr>
      <w:r>
        <w:rPr>
          <w:bCs/>
          <w:b/>
        </w:rPr>
        <w:t xml:space="preserve">Realizar análise de sensibilidade.</w:t>
      </w:r>
      <w:r>
        <w:rPr>
          <w:bCs/>
          <w:b/>
        </w:rPr>
        <w:t xml:space="preserve"> </w:t>
      </w:r>
      <w:r>
        <w:t xml:space="preserve">Executar o passo 7 do quadro da OCDE, testando a robustez do IGDA a pesos alternativos, à escolha entre agregação aritmética e geométrica e à inclusão ou exclusão de indicadores marginais, reportando intervalos de incerteza em vez de um valor pontual.</w:t>
      </w:r>
    </w:p>
    <w:bookmarkEnd w:id="71"/>
    <w:bookmarkStart w:id="75" w:name="implementação-técnica"/>
    <w:p>
      <w:pPr>
        <w:pStyle w:val="Heading1"/>
      </w:pPr>
      <w:r>
        <w:t xml:space="preserve">12. Implementação técnica</w:t>
      </w:r>
    </w:p>
    <w:bookmarkStart w:id="72" w:name="arquitectura-do-construtor"/>
    <w:p>
      <w:pPr>
        <w:pStyle w:val="Heading2"/>
      </w:pPr>
      <w:r>
        <w:t xml:space="preserve">12.1 Arquitectura do construtor</w:t>
      </w:r>
    </w:p>
    <w:p>
      <w:pPr>
        <w:pStyle w:val="FirstParagraph"/>
      </w:pPr>
      <w:r>
        <w:t xml:space="preserve">O índice é implementado num livro de cálculo integralmente ligado por fórmulas, organizado em folhas sequenciais: um painel de síntese; os critérios de selecção e parâmetros; a base potencial (o catálogo completo de candidatos, onde opera o motor de selecção); a base do índice (os indicadores seleccionados); os dados ajustados (após imputação); as bandeiras de qualidade; a normalização; os subíndices e o IGDA; as visualizações; a metodologia; as fontes; e a escala comum de evolução (folha 11_Escala_Comum, Secção 10.4). Toda a cadeia é dinâmica: alterações nos parâmetros ou nos dados propagam-se automaticamente até ao resultado.</w:t>
      </w:r>
    </w:p>
    <w:bookmarkEnd w:id="72"/>
    <w:bookmarkStart w:id="73" w:name="cadeia-de-cálculo"/>
    <w:p>
      <w:pPr>
        <w:pStyle w:val="Heading2"/>
      </w:pPr>
      <w:r>
        <w:t xml:space="preserve">12.2 Cadeia de cálculo</w:t>
      </w:r>
    </w:p>
    <w:p>
      <w:pPr>
        <w:pStyle w:val="FirstParagraph"/>
      </w:pPr>
      <w:r>
        <w:t xml:space="preserve">A sequência de cálculo parte da base potencial, onde o motor de selecção pontua e ordena os candidatos; os seleccionados alimentam a base do índice; seguem-se os dados ajustados, onde se aplica a imputação; a normalização, que converte tudo para a escala de 0 a 100 com os sentidos correctos; e os subíndices e o IGDA, calculados com as regras de cobertura e as funções de agregação descritas. O painel e as visualizações lêem o resultado final.</w:t>
      </w:r>
    </w:p>
    <w:bookmarkEnd w:id="73"/>
    <w:bookmarkStart w:id="74" w:name="recalibração-e-reprodutibilidade"/>
    <w:p>
      <w:pPr>
        <w:pStyle w:val="Heading2"/>
      </w:pPr>
      <w:r>
        <w:t xml:space="preserve">12.3 Recalibração e reprodutibilidade</w:t>
      </w:r>
    </w:p>
    <w:p>
      <w:pPr>
        <w:pStyle w:val="FirstParagraph"/>
      </w:pPr>
      <w:r>
        <w:t xml:space="preserve">A recalibração faz-se através de dois pontos de controlo: a folha de critérios, onde se definem as dimensões activas, os pesos, os números-alvo, os parâmetros de imputação e o modo de operação; e a base potencial, onde se revêem as observações anuais e os ajustes manuais de selecção (forçar ou bloquear candidatos). Qualquer alteração, seguida de recálculo, reconstrói o índice de forma reproduzível, sem necessidade de intervir nas fórmulas, assegurando que os resultados podem ser replicados por terceiros.</w:t>
      </w:r>
    </w:p>
    <w:bookmarkEnd w:id="74"/>
    <w:bookmarkEnd w:id="75"/>
    <w:bookmarkStart w:id="76" w:name="X9ea8b7c27b07edd7f3f44c4734b9353cadc3826"/>
    <w:p>
      <w:pPr>
        <w:pStyle w:val="Heading1"/>
      </w:pPr>
      <w:r>
        <w:t xml:space="preserve">Anexo A — Estrutura completa: 41 indicadores</w:t>
      </w:r>
    </w:p>
    <w:p>
      <w:pPr>
        <w:pStyle w:val="FirstParagraph"/>
      </w:pPr>
      <w:r>
        <w:t xml:space="preserve">O quadro seguinte lista os quarenta e um indicadores do índice, agrupados pelas oito dimensões activas, com a respectiva unidade, sentido, cobertura temporal observada e fonte. O sentido positivo (+) indica que valores mais altos representam melhor desempenho; o sentido negativo (−) indica o contrário, sendo a normalização invertida nesses casos.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rPr>
                <w:bCs/>
                <w:b/>
              </w:rPr>
              <w:t xml:space="preserve">Código</w:t>
            </w:r>
          </w:p>
        </w:tc>
        <w:tc>
          <w:tcPr/>
          <w:p>
            <w:pPr>
              <w:pStyle w:val="Compact"/>
              <w:jc w:val="left"/>
            </w:pPr>
            <w:r>
              <w:rPr>
                <w:bCs/>
                <w:b/>
              </w:rPr>
              <w:t xml:space="preserve">Indicador</w:t>
            </w:r>
          </w:p>
        </w:tc>
        <w:tc>
          <w:tcPr/>
          <w:p>
            <w:pPr>
              <w:pStyle w:val="Compact"/>
              <w:jc w:val="left"/>
            </w:pPr>
            <w:r>
              <w:rPr>
                <w:bCs/>
                <w:b/>
              </w:rPr>
              <w:t xml:space="preserve">Unidade</w:t>
            </w:r>
          </w:p>
        </w:tc>
        <w:tc>
          <w:tcPr/>
          <w:p>
            <w:pPr>
              <w:pStyle w:val="Compact"/>
              <w:jc w:val="left"/>
            </w:pPr>
            <w:r>
              <w:rPr>
                <w:bCs/>
                <w:b/>
              </w:rPr>
              <w:t xml:space="preserve">Sentido</w:t>
            </w:r>
          </w:p>
        </w:tc>
        <w:tc>
          <w:tcPr/>
          <w:p>
            <w:pPr>
              <w:pStyle w:val="Compact"/>
              <w:jc w:val="left"/>
            </w:pPr>
            <w:r>
              <w:rPr>
                <w:bCs/>
                <w:b/>
              </w:rPr>
              <w:t xml:space="preserve">Cobertura</w:t>
            </w:r>
          </w:p>
        </w:tc>
        <w:tc>
          <w:tcPr/>
          <w:p>
            <w:pPr>
              <w:pStyle w:val="Compact"/>
              <w:jc w:val="left"/>
            </w:pPr>
            <w:r>
              <w:rPr>
                <w:bCs/>
                <w:b/>
              </w:rPr>
              <w:t xml:space="preserve">Fonte</w:t>
            </w:r>
          </w:p>
        </w:tc>
      </w:tr>
      <w:tr>
        <w:tc>
          <w:tcPr/>
          <w:p>
            <w:pPr>
              <w:pStyle w:val="Compact"/>
              <w:jc w:val="left"/>
            </w:pPr>
            <w:r>
              <w:rPr>
                <w:bCs/>
                <w:b/>
              </w:rPr>
              <w:t xml:space="preserve">1. Governança e Estado de Direito</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GOV01</w:t>
            </w:r>
          </w:p>
        </w:tc>
        <w:tc>
          <w:tcPr/>
          <w:p>
            <w:pPr>
              <w:pStyle w:val="Compact"/>
              <w:jc w:val="left"/>
            </w:pPr>
            <w:r>
              <w:t xml:space="preserve">Índice de Percepção da Corrupção</w:t>
            </w:r>
          </w:p>
        </w:tc>
        <w:tc>
          <w:tcPr/>
          <w:p>
            <w:pPr>
              <w:pStyle w:val="Compact"/>
              <w:jc w:val="left"/>
            </w:pPr>
            <w:r>
              <w:t xml:space="preserve">0-100</w:t>
            </w:r>
          </w:p>
        </w:tc>
        <w:tc>
          <w:tcPr/>
          <w:p>
            <w:pPr>
              <w:pStyle w:val="Compact"/>
              <w:jc w:val="left"/>
            </w:pPr>
            <w:r>
              <w:t xml:space="preserve">+</w:t>
            </w:r>
          </w:p>
        </w:tc>
        <w:tc>
          <w:tcPr/>
          <w:p>
            <w:pPr>
              <w:pStyle w:val="Compact"/>
              <w:jc w:val="left"/>
            </w:pPr>
            <w:r>
              <w:t xml:space="preserve">100%</w:t>
            </w:r>
          </w:p>
        </w:tc>
        <w:tc>
          <w:tcPr/>
          <w:p>
            <w:pPr>
              <w:pStyle w:val="Compact"/>
              <w:jc w:val="left"/>
            </w:pPr>
            <w:r>
              <w:t xml:space="preserve">Transparency Int.</w:t>
            </w:r>
          </w:p>
        </w:tc>
      </w:tr>
      <w:tr>
        <w:tc>
          <w:tcPr/>
          <w:p>
            <w:pPr>
              <w:pStyle w:val="Compact"/>
              <w:jc w:val="left"/>
            </w:pPr>
            <w:r>
              <w:t xml:space="preserve">GOV004</w:t>
            </w:r>
          </w:p>
        </w:tc>
        <w:tc>
          <w:tcPr/>
          <w:p>
            <w:pPr>
              <w:pStyle w:val="Compact"/>
              <w:jc w:val="left"/>
            </w:pPr>
            <w:r>
              <w:t xml:space="preserve">Estabilidade Política (WGI)</w:t>
            </w:r>
          </w:p>
        </w:tc>
        <w:tc>
          <w:tcPr/>
          <w:p>
            <w:pPr>
              <w:pStyle w:val="Compact"/>
              <w:jc w:val="left"/>
            </w:pPr>
            <w:r>
              <w:t xml:space="preserve">-2.5 a 2.5</w:t>
            </w:r>
          </w:p>
        </w:tc>
        <w:tc>
          <w:tcPr/>
          <w:p>
            <w:pPr>
              <w:pStyle w:val="Compact"/>
              <w:jc w:val="left"/>
            </w:pPr>
            <w:r>
              <w:t xml:space="preserve">+</w:t>
            </w:r>
          </w:p>
        </w:tc>
        <w:tc>
          <w:tcPr/>
          <w:p>
            <w:pPr>
              <w:pStyle w:val="Compact"/>
              <w:jc w:val="left"/>
            </w:pPr>
            <w:r>
              <w:t xml:space="preserve">91%</w:t>
            </w:r>
          </w:p>
        </w:tc>
        <w:tc>
          <w:tcPr/>
          <w:p>
            <w:pPr>
              <w:pStyle w:val="Compact"/>
              <w:jc w:val="left"/>
            </w:pPr>
            <w:r>
              <w:t xml:space="preserve">Banco Mundial</w:t>
            </w:r>
          </w:p>
        </w:tc>
      </w:tr>
      <w:tr>
        <w:tc>
          <w:tcPr/>
          <w:p>
            <w:pPr>
              <w:pStyle w:val="Compact"/>
              <w:jc w:val="left"/>
            </w:pPr>
            <w:r>
              <w:t xml:space="preserve">GOV02</w:t>
            </w:r>
          </w:p>
        </w:tc>
        <w:tc>
          <w:tcPr/>
          <w:p>
            <w:pPr>
              <w:pStyle w:val="Compact"/>
              <w:jc w:val="left"/>
            </w:pPr>
            <w:r>
              <w:t xml:space="preserve">WGI - Estado de Direito</w:t>
            </w:r>
          </w:p>
        </w:tc>
        <w:tc>
          <w:tcPr/>
          <w:p>
            <w:pPr>
              <w:pStyle w:val="Compact"/>
              <w:jc w:val="left"/>
            </w:pPr>
            <w:r>
              <w:t xml:space="preserve">-2.5 a 2.5</w:t>
            </w:r>
          </w:p>
        </w:tc>
        <w:tc>
          <w:tcPr/>
          <w:p>
            <w:pPr>
              <w:pStyle w:val="Compact"/>
              <w:jc w:val="left"/>
            </w:pPr>
            <w:r>
              <w:t xml:space="preserve">+</w:t>
            </w:r>
          </w:p>
        </w:tc>
        <w:tc>
          <w:tcPr/>
          <w:p>
            <w:pPr>
              <w:pStyle w:val="Compact"/>
              <w:jc w:val="left"/>
            </w:pPr>
            <w:r>
              <w:t xml:space="preserve">91%</w:t>
            </w:r>
          </w:p>
        </w:tc>
        <w:tc>
          <w:tcPr/>
          <w:p>
            <w:pPr>
              <w:pStyle w:val="Compact"/>
              <w:jc w:val="left"/>
            </w:pPr>
            <w:r>
              <w:t xml:space="preserve">Banco Mundial</w:t>
            </w:r>
          </w:p>
        </w:tc>
      </w:tr>
      <w:tr>
        <w:tc>
          <w:tcPr/>
          <w:p>
            <w:pPr>
              <w:pStyle w:val="Compact"/>
              <w:jc w:val="left"/>
            </w:pPr>
            <w:r>
              <w:t xml:space="preserve">GOV03</w:t>
            </w:r>
          </w:p>
        </w:tc>
        <w:tc>
          <w:tcPr/>
          <w:p>
            <w:pPr>
              <w:pStyle w:val="Compact"/>
              <w:jc w:val="left"/>
            </w:pPr>
            <w:r>
              <w:t xml:space="preserve">WGI - Eficiência do Governo</w:t>
            </w:r>
          </w:p>
        </w:tc>
        <w:tc>
          <w:tcPr/>
          <w:p>
            <w:pPr>
              <w:pStyle w:val="Compact"/>
              <w:jc w:val="left"/>
            </w:pPr>
            <w:r>
              <w:t xml:space="preserve">-2.5 a 2.5</w:t>
            </w:r>
          </w:p>
        </w:tc>
        <w:tc>
          <w:tcPr/>
          <w:p>
            <w:pPr>
              <w:pStyle w:val="Compact"/>
              <w:jc w:val="left"/>
            </w:pPr>
            <w:r>
              <w:t xml:space="preserve">+</w:t>
            </w:r>
          </w:p>
        </w:tc>
        <w:tc>
          <w:tcPr/>
          <w:p>
            <w:pPr>
              <w:pStyle w:val="Compact"/>
              <w:jc w:val="left"/>
            </w:pPr>
            <w:r>
              <w:t xml:space="preserve">91%</w:t>
            </w:r>
          </w:p>
        </w:tc>
        <w:tc>
          <w:tcPr/>
          <w:p>
            <w:pPr>
              <w:pStyle w:val="Compact"/>
              <w:jc w:val="left"/>
            </w:pPr>
            <w:r>
              <w:t xml:space="preserve">Banco Mundial</w:t>
            </w:r>
          </w:p>
        </w:tc>
      </w:tr>
      <w:tr>
        <w:tc>
          <w:tcPr/>
          <w:p>
            <w:pPr>
              <w:pStyle w:val="Compact"/>
              <w:jc w:val="left"/>
            </w:pPr>
            <w:r>
              <w:t xml:space="preserve">GOV05</w:t>
            </w:r>
          </w:p>
        </w:tc>
        <w:tc>
          <w:tcPr/>
          <w:p>
            <w:pPr>
              <w:pStyle w:val="Compact"/>
              <w:jc w:val="left"/>
            </w:pPr>
            <w:r>
              <w:t xml:space="preserve">WGI - Qualidade Regulatória</w:t>
            </w:r>
          </w:p>
        </w:tc>
        <w:tc>
          <w:tcPr/>
          <w:p>
            <w:pPr>
              <w:pStyle w:val="Compact"/>
              <w:jc w:val="left"/>
            </w:pPr>
            <w:r>
              <w:t xml:space="preserve">-2.5 a 2.5</w:t>
            </w:r>
          </w:p>
        </w:tc>
        <w:tc>
          <w:tcPr/>
          <w:p>
            <w:pPr>
              <w:pStyle w:val="Compact"/>
              <w:jc w:val="left"/>
            </w:pPr>
            <w:r>
              <w:t xml:space="preserve">+</w:t>
            </w:r>
          </w:p>
        </w:tc>
        <w:tc>
          <w:tcPr/>
          <w:p>
            <w:pPr>
              <w:pStyle w:val="Compact"/>
              <w:jc w:val="left"/>
            </w:pPr>
            <w:r>
              <w:t xml:space="preserve">91%</w:t>
            </w:r>
          </w:p>
        </w:tc>
        <w:tc>
          <w:tcPr/>
          <w:p>
            <w:pPr>
              <w:pStyle w:val="Compact"/>
              <w:jc w:val="left"/>
            </w:pPr>
            <w:r>
              <w:t xml:space="preserve">WGI/Banco Mundial</w:t>
            </w:r>
          </w:p>
        </w:tc>
      </w:tr>
      <w:tr>
        <w:tc>
          <w:tcPr/>
          <w:p>
            <w:pPr>
              <w:pStyle w:val="Compact"/>
              <w:jc w:val="left"/>
            </w:pPr>
            <w:r>
              <w:rPr>
                <w:bCs/>
                <w:b/>
              </w:rPr>
              <w:t xml:space="preserve">2. Estabilidade Macroeconómica</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MAC001</w:t>
            </w:r>
          </w:p>
        </w:tc>
        <w:tc>
          <w:tcPr/>
          <w:p>
            <w:pPr>
              <w:pStyle w:val="Compact"/>
              <w:jc w:val="left"/>
            </w:pPr>
            <w:r>
              <w:t xml:space="preserve">Taxa de Crescimento do PIB</w:t>
            </w:r>
          </w:p>
        </w:tc>
        <w:tc>
          <w:tcPr/>
          <w:p>
            <w:pPr>
              <w:pStyle w:val="Compact"/>
              <w:jc w:val="left"/>
            </w:pPr>
            <w:r>
              <w:t xml:space="preserve">%</w:t>
            </w:r>
          </w:p>
        </w:tc>
        <w:tc>
          <w:tcPr/>
          <w:p>
            <w:pPr>
              <w:pStyle w:val="Compact"/>
              <w:jc w:val="left"/>
            </w:pPr>
            <w:r>
              <w:t xml:space="preserve">+</w:t>
            </w:r>
          </w:p>
        </w:tc>
        <w:tc>
          <w:tcPr/>
          <w:p>
            <w:pPr>
              <w:pStyle w:val="Compact"/>
              <w:jc w:val="left"/>
            </w:pPr>
            <w:r>
              <w:t xml:space="preserve">100%</w:t>
            </w:r>
          </w:p>
        </w:tc>
        <w:tc>
          <w:tcPr/>
          <w:p>
            <w:pPr>
              <w:pStyle w:val="Compact"/>
              <w:jc w:val="left"/>
            </w:pPr>
            <w:r>
              <w:t xml:space="preserve">INE/MEP</w:t>
            </w:r>
          </w:p>
        </w:tc>
      </w:tr>
      <w:tr>
        <w:tc>
          <w:tcPr/>
          <w:p>
            <w:pPr>
              <w:pStyle w:val="Compact"/>
              <w:jc w:val="left"/>
            </w:pPr>
            <w:r>
              <w:t xml:space="preserve">MAC002</w:t>
            </w:r>
          </w:p>
        </w:tc>
        <w:tc>
          <w:tcPr/>
          <w:p>
            <w:pPr>
              <w:pStyle w:val="Compact"/>
              <w:jc w:val="left"/>
            </w:pPr>
            <w:r>
              <w:t xml:space="preserve">PIB per Capita (USD)</w:t>
            </w:r>
          </w:p>
        </w:tc>
        <w:tc>
          <w:tcPr/>
          <w:p>
            <w:pPr>
              <w:pStyle w:val="Compact"/>
              <w:jc w:val="left"/>
            </w:pPr>
            <w:r>
              <w:t xml:space="preserve">USD</w:t>
            </w:r>
          </w:p>
        </w:tc>
        <w:tc>
          <w:tcPr/>
          <w:p>
            <w:pPr>
              <w:pStyle w:val="Compact"/>
              <w:jc w:val="left"/>
            </w:pPr>
            <w:r>
              <w:t xml:space="preserve">+</w:t>
            </w:r>
          </w:p>
        </w:tc>
        <w:tc>
          <w:tcPr/>
          <w:p>
            <w:pPr>
              <w:pStyle w:val="Compact"/>
              <w:jc w:val="left"/>
            </w:pPr>
            <w:r>
              <w:t xml:space="preserve">100%</w:t>
            </w:r>
          </w:p>
        </w:tc>
        <w:tc>
          <w:tcPr/>
          <w:p>
            <w:pPr>
              <w:pStyle w:val="Compact"/>
              <w:jc w:val="left"/>
            </w:pPr>
            <w:r>
              <w:t xml:space="preserve">INE/MEP</w:t>
            </w:r>
          </w:p>
        </w:tc>
      </w:tr>
      <w:tr>
        <w:tc>
          <w:tcPr/>
          <w:p>
            <w:pPr>
              <w:pStyle w:val="Compact"/>
              <w:jc w:val="left"/>
            </w:pPr>
            <w:r>
              <w:t xml:space="preserve">MAC003</w:t>
            </w:r>
          </w:p>
        </w:tc>
        <w:tc>
          <w:tcPr/>
          <w:p>
            <w:pPr>
              <w:pStyle w:val="Compact"/>
              <w:jc w:val="left"/>
            </w:pPr>
            <w:r>
              <w:t xml:space="preserve">Inflação (IPC)</w:t>
            </w:r>
          </w:p>
        </w:tc>
        <w:tc>
          <w:tcPr/>
          <w:p>
            <w:pPr>
              <w:pStyle w:val="Compact"/>
              <w:jc w:val="left"/>
            </w:pPr>
            <w:r>
              <w:t xml:space="preserve">%</w:t>
            </w:r>
          </w:p>
        </w:tc>
        <w:tc>
          <w:tcPr/>
          <w:p>
            <w:pPr>
              <w:pStyle w:val="Compact"/>
              <w:jc w:val="left"/>
            </w:pPr>
            <w:r>
              <w:t xml:space="preserve">−</w:t>
            </w:r>
          </w:p>
        </w:tc>
        <w:tc>
          <w:tcPr/>
          <w:p>
            <w:pPr>
              <w:pStyle w:val="Compact"/>
              <w:jc w:val="left"/>
            </w:pPr>
            <w:r>
              <w:t xml:space="preserve">100%</w:t>
            </w:r>
          </w:p>
        </w:tc>
        <w:tc>
          <w:tcPr/>
          <w:p>
            <w:pPr>
              <w:pStyle w:val="Compact"/>
              <w:jc w:val="left"/>
            </w:pPr>
            <w:r>
              <w:t xml:space="preserve">INE/BNA</w:t>
            </w:r>
          </w:p>
        </w:tc>
      </w:tr>
      <w:tr>
        <w:tc>
          <w:tcPr/>
          <w:p>
            <w:pPr>
              <w:pStyle w:val="Compact"/>
              <w:jc w:val="left"/>
            </w:pPr>
            <w:r>
              <w:t xml:space="preserve">MAC004</w:t>
            </w:r>
          </w:p>
        </w:tc>
        <w:tc>
          <w:tcPr/>
          <w:p>
            <w:pPr>
              <w:pStyle w:val="Compact"/>
              <w:jc w:val="left"/>
            </w:pPr>
            <w:r>
              <w:t xml:space="preserve">Dívida Pública (% do PIB)</w:t>
            </w:r>
          </w:p>
        </w:tc>
        <w:tc>
          <w:tcPr/>
          <w:p>
            <w:pPr>
              <w:pStyle w:val="Compact"/>
              <w:jc w:val="left"/>
            </w:pPr>
            <w:r>
              <w:t xml:space="preserve">%</w:t>
            </w:r>
          </w:p>
        </w:tc>
        <w:tc>
          <w:tcPr/>
          <w:p>
            <w:pPr>
              <w:pStyle w:val="Compact"/>
              <w:jc w:val="left"/>
            </w:pPr>
            <w:r>
              <w:t xml:space="preserve">−</w:t>
            </w:r>
          </w:p>
        </w:tc>
        <w:tc>
          <w:tcPr/>
          <w:p>
            <w:pPr>
              <w:pStyle w:val="Compact"/>
              <w:jc w:val="left"/>
            </w:pPr>
            <w:r>
              <w:t xml:space="preserve">100%</w:t>
            </w:r>
          </w:p>
        </w:tc>
        <w:tc>
          <w:tcPr/>
          <w:p>
            <w:pPr>
              <w:pStyle w:val="Compact"/>
              <w:jc w:val="left"/>
            </w:pPr>
            <w:r>
              <w:t xml:space="preserve">MINFIN</w:t>
            </w:r>
          </w:p>
        </w:tc>
      </w:tr>
      <w:tr>
        <w:tc>
          <w:tcPr/>
          <w:p>
            <w:pPr>
              <w:pStyle w:val="Compact"/>
              <w:jc w:val="left"/>
            </w:pPr>
            <w:r>
              <w:t xml:space="preserve">MAC005</w:t>
            </w:r>
          </w:p>
        </w:tc>
        <w:tc>
          <w:tcPr/>
          <w:p>
            <w:pPr>
              <w:pStyle w:val="Compact"/>
              <w:jc w:val="left"/>
            </w:pPr>
            <w:r>
              <w:t xml:space="preserve">Saldo Orçamental (% do PIB)</w:t>
            </w:r>
          </w:p>
        </w:tc>
        <w:tc>
          <w:tcPr/>
          <w:p>
            <w:pPr>
              <w:pStyle w:val="Compact"/>
              <w:jc w:val="left"/>
            </w:pPr>
            <w:r>
              <w:t xml:space="preserve">%</w:t>
            </w:r>
          </w:p>
        </w:tc>
        <w:tc>
          <w:tcPr/>
          <w:p>
            <w:pPr>
              <w:pStyle w:val="Compact"/>
              <w:jc w:val="left"/>
            </w:pPr>
            <w:r>
              <w:t xml:space="preserve">+</w:t>
            </w:r>
          </w:p>
        </w:tc>
        <w:tc>
          <w:tcPr/>
          <w:p>
            <w:pPr>
              <w:pStyle w:val="Compact"/>
              <w:jc w:val="left"/>
            </w:pPr>
            <w:r>
              <w:t xml:space="preserve">100%</w:t>
            </w:r>
          </w:p>
        </w:tc>
        <w:tc>
          <w:tcPr/>
          <w:p>
            <w:pPr>
              <w:pStyle w:val="Compact"/>
              <w:jc w:val="left"/>
            </w:pPr>
            <w:r>
              <w:t xml:space="preserve">MINFIN</w:t>
            </w:r>
          </w:p>
        </w:tc>
      </w:tr>
      <w:tr>
        <w:tc>
          <w:tcPr/>
          <w:p>
            <w:pPr>
              <w:pStyle w:val="Compact"/>
              <w:jc w:val="left"/>
            </w:pPr>
            <w:r>
              <w:t xml:space="preserve">MAC007</w:t>
            </w:r>
          </w:p>
        </w:tc>
        <w:tc>
          <w:tcPr/>
          <w:p>
            <w:pPr>
              <w:pStyle w:val="Compact"/>
              <w:jc w:val="left"/>
            </w:pPr>
            <w:r>
              <w:t xml:space="preserve">Reservas Internacionais (meses)</w:t>
            </w:r>
          </w:p>
        </w:tc>
        <w:tc>
          <w:tcPr/>
          <w:p>
            <w:pPr>
              <w:pStyle w:val="Compact"/>
              <w:jc w:val="left"/>
            </w:pPr>
            <w:r>
              <w:t xml:space="preserve">Meses</w:t>
            </w:r>
          </w:p>
        </w:tc>
        <w:tc>
          <w:tcPr/>
          <w:p>
            <w:pPr>
              <w:pStyle w:val="Compact"/>
              <w:jc w:val="left"/>
            </w:pPr>
            <w:r>
              <w:t xml:space="preserve">+</w:t>
            </w:r>
          </w:p>
        </w:tc>
        <w:tc>
          <w:tcPr/>
          <w:p>
            <w:pPr>
              <w:pStyle w:val="Compact"/>
              <w:jc w:val="left"/>
            </w:pPr>
            <w:r>
              <w:t xml:space="preserve">100%</w:t>
            </w:r>
          </w:p>
        </w:tc>
        <w:tc>
          <w:tcPr/>
          <w:p>
            <w:pPr>
              <w:pStyle w:val="Compact"/>
              <w:jc w:val="left"/>
            </w:pPr>
            <w:r>
              <w:t xml:space="preserve">BNA</w:t>
            </w:r>
          </w:p>
        </w:tc>
      </w:tr>
      <w:tr>
        <w:tc>
          <w:tcPr/>
          <w:p>
            <w:pPr>
              <w:pStyle w:val="Compact"/>
              <w:jc w:val="left"/>
            </w:pPr>
            <w:r>
              <w:t xml:space="preserve">MAC014</w:t>
            </w:r>
          </w:p>
        </w:tc>
        <w:tc>
          <w:tcPr/>
          <w:p>
            <w:pPr>
              <w:pStyle w:val="Compact"/>
              <w:jc w:val="left"/>
            </w:pPr>
            <w:r>
              <w:t xml:space="preserve">Crescimento do PIB não petrolífero</w:t>
            </w:r>
          </w:p>
        </w:tc>
        <w:tc>
          <w:tcPr/>
          <w:p>
            <w:pPr>
              <w:pStyle w:val="Compact"/>
              <w:jc w:val="left"/>
            </w:pPr>
            <w:r>
              <w:t xml:space="preserve">%</w:t>
            </w:r>
          </w:p>
        </w:tc>
        <w:tc>
          <w:tcPr/>
          <w:p>
            <w:pPr>
              <w:pStyle w:val="Compact"/>
              <w:jc w:val="left"/>
            </w:pPr>
            <w:r>
              <w:t xml:space="preserve">+</w:t>
            </w:r>
          </w:p>
        </w:tc>
        <w:tc>
          <w:tcPr/>
          <w:p>
            <w:pPr>
              <w:pStyle w:val="Compact"/>
              <w:jc w:val="left"/>
            </w:pPr>
            <w:r>
              <w:t xml:space="preserve">100%</w:t>
            </w:r>
          </w:p>
        </w:tc>
        <w:tc>
          <w:tcPr/>
          <w:p>
            <w:pPr>
              <w:pStyle w:val="Compact"/>
              <w:jc w:val="left"/>
            </w:pPr>
            <w:r>
              <w:t xml:space="preserve">INE — Contas Nacionais</w:t>
            </w:r>
          </w:p>
        </w:tc>
      </w:tr>
      <w:tr>
        <w:tc>
          <w:tcPr/>
          <w:p>
            <w:pPr>
              <w:pStyle w:val="Compact"/>
              <w:jc w:val="left"/>
            </w:pPr>
            <w:r>
              <w:rPr>
                <w:bCs/>
                <w:b/>
              </w:rPr>
              <w:t xml:space="preserve">3. Capital Humano</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HUM002</w:t>
            </w:r>
          </w:p>
        </w:tc>
        <w:tc>
          <w:tcPr/>
          <w:p>
            <w:pPr>
              <w:pStyle w:val="Compact"/>
              <w:jc w:val="left"/>
            </w:pPr>
            <w:r>
              <w:t xml:space="preserve">Esperança Média de Vida</w:t>
            </w:r>
          </w:p>
        </w:tc>
        <w:tc>
          <w:tcPr/>
          <w:p>
            <w:pPr>
              <w:pStyle w:val="Compact"/>
              <w:jc w:val="left"/>
            </w:pPr>
            <w:r>
              <w:t xml:space="preserve">Anos</w:t>
            </w:r>
          </w:p>
        </w:tc>
        <w:tc>
          <w:tcPr/>
          <w:p>
            <w:pPr>
              <w:pStyle w:val="Compact"/>
              <w:jc w:val="left"/>
            </w:pPr>
            <w:r>
              <w:t xml:space="preserve">+</w:t>
            </w:r>
          </w:p>
        </w:tc>
        <w:tc>
          <w:tcPr/>
          <w:p>
            <w:pPr>
              <w:pStyle w:val="Compact"/>
              <w:jc w:val="left"/>
            </w:pPr>
            <w:r>
              <w:t xml:space="preserve">100%</w:t>
            </w:r>
          </w:p>
        </w:tc>
        <w:tc>
          <w:tcPr/>
          <w:p>
            <w:pPr>
              <w:pStyle w:val="Compact"/>
              <w:jc w:val="left"/>
            </w:pPr>
            <w:r>
              <w:t xml:space="preserve">INE/OMS</w:t>
            </w:r>
          </w:p>
        </w:tc>
      </w:tr>
      <w:tr>
        <w:tc>
          <w:tcPr/>
          <w:p>
            <w:pPr>
              <w:pStyle w:val="Compact"/>
              <w:jc w:val="left"/>
            </w:pPr>
            <w:r>
              <w:t xml:space="preserve">HUM006</w:t>
            </w:r>
          </w:p>
        </w:tc>
        <w:tc>
          <w:tcPr/>
          <w:p>
            <w:pPr>
              <w:pStyle w:val="Compact"/>
              <w:jc w:val="left"/>
            </w:pPr>
            <w:r>
              <w:t xml:space="preserve">Mortalidade Infantil (por 1000)</w:t>
            </w:r>
          </w:p>
        </w:tc>
        <w:tc>
          <w:tcPr/>
          <w:p>
            <w:pPr>
              <w:pStyle w:val="Compact"/>
              <w:jc w:val="left"/>
            </w:pPr>
            <w:r>
              <w:t xml:space="preserve">‰</w:t>
            </w:r>
          </w:p>
        </w:tc>
        <w:tc>
          <w:tcPr/>
          <w:p>
            <w:pPr>
              <w:pStyle w:val="Compact"/>
              <w:jc w:val="left"/>
            </w:pPr>
            <w:r>
              <w:t xml:space="preserve">−</w:t>
            </w:r>
          </w:p>
        </w:tc>
        <w:tc>
          <w:tcPr/>
          <w:p>
            <w:pPr>
              <w:pStyle w:val="Compact"/>
              <w:jc w:val="left"/>
            </w:pPr>
            <w:r>
              <w:t xml:space="preserve">91%</w:t>
            </w:r>
          </w:p>
        </w:tc>
        <w:tc>
          <w:tcPr/>
          <w:p>
            <w:pPr>
              <w:pStyle w:val="Compact"/>
              <w:jc w:val="left"/>
            </w:pPr>
            <w:r>
              <w:t xml:space="preserve">INE/MINSA</w:t>
            </w:r>
          </w:p>
        </w:tc>
      </w:tr>
      <w:tr>
        <w:tc>
          <w:tcPr/>
          <w:p>
            <w:pPr>
              <w:pStyle w:val="Compact"/>
              <w:jc w:val="left"/>
            </w:pPr>
            <w:r>
              <w:t xml:space="preserve">HUM030</w:t>
            </w:r>
          </w:p>
        </w:tc>
        <w:tc>
          <w:tcPr/>
          <w:p>
            <w:pPr>
              <w:pStyle w:val="Compact"/>
              <w:jc w:val="left"/>
            </w:pPr>
            <w:r>
              <w:t xml:space="preserve">Anos de escolaridade obrigatória</w:t>
            </w:r>
          </w:p>
        </w:tc>
        <w:tc>
          <w:tcPr/>
          <w:p>
            <w:pPr>
              <w:pStyle w:val="Compact"/>
              <w:jc w:val="left"/>
            </w:pPr>
            <w:r>
              <w:t xml:space="preserve">anos</w:t>
            </w:r>
          </w:p>
        </w:tc>
        <w:tc>
          <w:tcPr/>
          <w:p>
            <w:pPr>
              <w:pStyle w:val="Compact"/>
              <w:jc w:val="left"/>
            </w:pPr>
            <w:r>
              <w:t xml:space="preserve">+</w:t>
            </w:r>
          </w:p>
        </w:tc>
        <w:tc>
          <w:tcPr/>
          <w:p>
            <w:pPr>
              <w:pStyle w:val="Compact"/>
              <w:jc w:val="left"/>
            </w:pPr>
            <w:r>
              <w:t xml:space="preserve">100%</w:t>
            </w:r>
          </w:p>
        </w:tc>
        <w:tc>
          <w:tcPr/>
          <w:p>
            <w:pPr>
              <w:pStyle w:val="Compact"/>
              <w:jc w:val="left"/>
            </w:pPr>
            <w:r>
              <w:t xml:space="preserve">Banco Mundial/UNESCO</w:t>
            </w:r>
          </w:p>
        </w:tc>
      </w:tr>
      <w:tr>
        <w:tc>
          <w:tcPr/>
          <w:p>
            <w:pPr>
              <w:pStyle w:val="Compact"/>
              <w:jc w:val="left"/>
            </w:pPr>
            <w:r>
              <w:t xml:space="preserve">HUM010</w:t>
            </w:r>
          </w:p>
        </w:tc>
        <w:tc>
          <w:tcPr/>
          <w:p>
            <w:pPr>
              <w:pStyle w:val="Compact"/>
              <w:jc w:val="left"/>
            </w:pPr>
            <w:r>
              <w:t xml:space="preserve">Despesa pública em educação (% PIB)</w:t>
            </w:r>
          </w:p>
        </w:tc>
        <w:tc>
          <w:tcPr/>
          <w:p>
            <w:pPr>
              <w:pStyle w:val="Compact"/>
              <w:jc w:val="left"/>
            </w:pPr>
            <w:r>
              <w:t xml:space="preserve">%</w:t>
            </w:r>
          </w:p>
        </w:tc>
        <w:tc>
          <w:tcPr/>
          <w:p>
            <w:pPr>
              <w:pStyle w:val="Compact"/>
              <w:jc w:val="left"/>
            </w:pPr>
            <w:r>
              <w:t xml:space="preserve">+</w:t>
            </w:r>
          </w:p>
        </w:tc>
        <w:tc>
          <w:tcPr/>
          <w:p>
            <w:pPr>
              <w:pStyle w:val="Compact"/>
              <w:jc w:val="left"/>
            </w:pPr>
            <w:r>
              <w:t xml:space="preserve">82%</w:t>
            </w:r>
          </w:p>
        </w:tc>
        <w:tc>
          <w:tcPr/>
          <w:p>
            <w:pPr>
              <w:pStyle w:val="Compact"/>
              <w:jc w:val="left"/>
            </w:pPr>
            <w:r>
              <w:t xml:space="preserve">Banco Mundial/UNESCO</w:t>
            </w:r>
          </w:p>
        </w:tc>
      </w:tr>
      <w:tr>
        <w:tc>
          <w:tcPr/>
          <w:p>
            <w:pPr>
              <w:pStyle w:val="Compact"/>
              <w:jc w:val="left"/>
            </w:pPr>
            <w:r>
              <w:rPr>
                <w:bCs/>
                <w:b/>
              </w:rPr>
              <w:t xml:space="preserve">4. Inclusão Social e Protecção</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INC005</w:t>
            </w:r>
          </w:p>
        </w:tc>
        <w:tc>
          <w:tcPr/>
          <w:p>
            <w:pPr>
              <w:pStyle w:val="Compact"/>
              <w:jc w:val="left"/>
            </w:pPr>
            <w:r>
              <w:t xml:space="preserve">RNB per Capita (USD)</w:t>
            </w:r>
          </w:p>
        </w:tc>
        <w:tc>
          <w:tcPr/>
          <w:p>
            <w:pPr>
              <w:pStyle w:val="Compact"/>
              <w:jc w:val="left"/>
            </w:pPr>
            <w:r>
              <w:t xml:space="preserve">USD</w:t>
            </w:r>
          </w:p>
        </w:tc>
        <w:tc>
          <w:tcPr/>
          <w:p>
            <w:pPr>
              <w:pStyle w:val="Compact"/>
              <w:jc w:val="left"/>
            </w:pPr>
            <w:r>
              <w:t xml:space="preserve">+</w:t>
            </w:r>
          </w:p>
        </w:tc>
        <w:tc>
          <w:tcPr/>
          <w:p>
            <w:pPr>
              <w:pStyle w:val="Compact"/>
              <w:jc w:val="left"/>
            </w:pPr>
            <w:r>
              <w:t xml:space="preserve">100%</w:t>
            </w:r>
          </w:p>
        </w:tc>
        <w:tc>
          <w:tcPr/>
          <w:p>
            <w:pPr>
              <w:pStyle w:val="Compact"/>
              <w:jc w:val="left"/>
            </w:pPr>
            <w:r>
              <w:t xml:space="preserve">INE</w:t>
            </w:r>
          </w:p>
        </w:tc>
      </w:tr>
      <w:tr>
        <w:tc>
          <w:tcPr/>
          <w:p>
            <w:pPr>
              <w:pStyle w:val="Compact"/>
              <w:jc w:val="left"/>
            </w:pPr>
            <w:r>
              <w:t xml:space="preserve">INC04</w:t>
            </w:r>
          </w:p>
        </w:tc>
        <w:tc>
          <w:tcPr/>
          <w:p>
            <w:pPr>
              <w:pStyle w:val="Compact"/>
              <w:jc w:val="left"/>
            </w:pPr>
            <w:r>
              <w:t xml:space="preserve">Global Gender Gap Index</w:t>
            </w:r>
          </w:p>
        </w:tc>
        <w:tc>
          <w:tcPr/>
          <w:p>
            <w:pPr>
              <w:pStyle w:val="Compact"/>
              <w:jc w:val="left"/>
            </w:pPr>
            <w:r>
              <w:t xml:space="preserve">0-1</w:t>
            </w:r>
          </w:p>
        </w:tc>
        <w:tc>
          <w:tcPr/>
          <w:p>
            <w:pPr>
              <w:pStyle w:val="Compact"/>
              <w:jc w:val="left"/>
            </w:pPr>
            <w:r>
              <w:t xml:space="preserve">+</w:t>
            </w:r>
          </w:p>
        </w:tc>
        <w:tc>
          <w:tcPr/>
          <w:p>
            <w:pPr>
              <w:pStyle w:val="Compact"/>
              <w:jc w:val="left"/>
            </w:pPr>
            <w:r>
              <w:t xml:space="preserve">91%</w:t>
            </w:r>
          </w:p>
        </w:tc>
        <w:tc>
          <w:tcPr/>
          <w:p>
            <w:pPr>
              <w:pStyle w:val="Compact"/>
              <w:jc w:val="left"/>
            </w:pPr>
            <w:r>
              <w:t xml:space="preserve">WEF</w:t>
            </w:r>
          </w:p>
        </w:tc>
      </w:tr>
      <w:tr>
        <w:tc>
          <w:tcPr/>
          <w:p>
            <w:pPr>
              <w:pStyle w:val="Compact"/>
              <w:jc w:val="left"/>
            </w:pPr>
            <w:r>
              <w:t xml:space="preserve">INC06</w:t>
            </w:r>
          </w:p>
        </w:tc>
        <w:tc>
          <w:tcPr/>
          <w:p>
            <w:pPr>
              <w:pStyle w:val="Compact"/>
              <w:jc w:val="left"/>
            </w:pPr>
            <w:r>
              <w:t xml:space="preserve">Mulheres no parlamento</w:t>
            </w:r>
          </w:p>
        </w:tc>
        <w:tc>
          <w:tcPr/>
          <w:p>
            <w:pPr>
              <w:pStyle w:val="Compact"/>
              <w:jc w:val="left"/>
            </w:pPr>
            <w:r>
              <w:t xml:space="preserve">%</w:t>
            </w:r>
          </w:p>
        </w:tc>
        <w:tc>
          <w:tcPr/>
          <w:p>
            <w:pPr>
              <w:pStyle w:val="Compact"/>
              <w:jc w:val="left"/>
            </w:pPr>
            <w:r>
              <w:t xml:space="preserve">+</w:t>
            </w:r>
          </w:p>
        </w:tc>
        <w:tc>
          <w:tcPr/>
          <w:p>
            <w:pPr>
              <w:pStyle w:val="Compact"/>
              <w:jc w:val="left"/>
            </w:pPr>
            <w:r>
              <w:t xml:space="preserve">100%</w:t>
            </w:r>
          </w:p>
        </w:tc>
        <w:tc>
          <w:tcPr/>
          <w:p>
            <w:pPr>
              <w:pStyle w:val="Compact"/>
              <w:jc w:val="left"/>
            </w:pPr>
            <w:r>
              <w:t xml:space="preserve">Banco Mundial/IPU</w:t>
            </w:r>
          </w:p>
        </w:tc>
      </w:tr>
      <w:tr>
        <w:tc>
          <w:tcPr/>
          <w:p>
            <w:pPr>
              <w:pStyle w:val="Compact"/>
              <w:jc w:val="left"/>
            </w:pPr>
            <w:r>
              <w:rPr>
                <w:bCs/>
                <w:b/>
              </w:rPr>
              <w:t xml:space="preserve">5. Infraestruturas e Serviços</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INF002</w:t>
            </w:r>
          </w:p>
        </w:tc>
        <w:tc>
          <w:tcPr/>
          <w:p>
            <w:pPr>
              <w:pStyle w:val="Compact"/>
              <w:jc w:val="left"/>
            </w:pPr>
            <w:r>
              <w:t xml:space="preserve">Acesso a Água Potável</w:t>
            </w:r>
          </w:p>
        </w:tc>
        <w:tc>
          <w:tcPr/>
          <w:p>
            <w:pPr>
              <w:pStyle w:val="Compact"/>
              <w:jc w:val="left"/>
            </w:pPr>
            <w:r>
              <w:t xml:space="preserve">%</w:t>
            </w:r>
          </w:p>
        </w:tc>
        <w:tc>
          <w:tcPr/>
          <w:p>
            <w:pPr>
              <w:pStyle w:val="Compact"/>
              <w:jc w:val="left"/>
            </w:pPr>
            <w:r>
              <w:t xml:space="preserve">+</w:t>
            </w:r>
          </w:p>
        </w:tc>
        <w:tc>
          <w:tcPr/>
          <w:p>
            <w:pPr>
              <w:pStyle w:val="Compact"/>
              <w:jc w:val="left"/>
            </w:pPr>
            <w:r>
              <w:t xml:space="preserve">91%</w:t>
            </w:r>
          </w:p>
        </w:tc>
        <w:tc>
          <w:tcPr/>
          <w:p>
            <w:pPr>
              <w:pStyle w:val="Compact"/>
              <w:jc w:val="left"/>
            </w:pPr>
            <w:r>
              <w:t xml:space="preserve">MINEA/INE</w:t>
            </w:r>
          </w:p>
        </w:tc>
      </w:tr>
      <w:tr>
        <w:tc>
          <w:tcPr/>
          <w:p>
            <w:pPr>
              <w:pStyle w:val="Compact"/>
              <w:jc w:val="left"/>
            </w:pPr>
            <w:r>
              <w:t xml:space="preserve">INF006</w:t>
            </w:r>
          </w:p>
        </w:tc>
        <w:tc>
          <w:tcPr/>
          <w:p>
            <w:pPr>
              <w:pStyle w:val="Compact"/>
              <w:jc w:val="left"/>
            </w:pPr>
            <w:r>
              <w:t xml:space="preserve">Densidade Rodoviária (km/1000km²)</w:t>
            </w:r>
          </w:p>
        </w:tc>
        <w:tc>
          <w:tcPr/>
          <w:p>
            <w:pPr>
              <w:pStyle w:val="Compact"/>
              <w:jc w:val="left"/>
            </w:pPr>
            <w:r>
              <w:t xml:space="preserve">km</w:t>
            </w:r>
          </w:p>
        </w:tc>
        <w:tc>
          <w:tcPr/>
          <w:p>
            <w:pPr>
              <w:pStyle w:val="Compact"/>
              <w:jc w:val="left"/>
            </w:pPr>
            <w:r>
              <w:t xml:space="preserve">+</w:t>
            </w:r>
          </w:p>
        </w:tc>
        <w:tc>
          <w:tcPr/>
          <w:p>
            <w:pPr>
              <w:pStyle w:val="Compact"/>
              <w:jc w:val="left"/>
            </w:pPr>
            <w:r>
              <w:t xml:space="preserve">91%</w:t>
            </w:r>
          </w:p>
        </w:tc>
        <w:tc>
          <w:tcPr/>
          <w:p>
            <w:pPr>
              <w:pStyle w:val="Compact"/>
              <w:jc w:val="left"/>
            </w:pPr>
            <w:r>
              <w:t xml:space="preserve">MINTRANS</w:t>
            </w:r>
          </w:p>
        </w:tc>
      </w:tr>
      <w:tr>
        <w:tc>
          <w:tcPr/>
          <w:p>
            <w:pPr>
              <w:pStyle w:val="Compact"/>
              <w:jc w:val="left"/>
            </w:pPr>
            <w:r>
              <w:t xml:space="preserve">INF001</w:t>
            </w:r>
          </w:p>
        </w:tc>
        <w:tc>
          <w:tcPr/>
          <w:p>
            <w:pPr>
              <w:pStyle w:val="Compact"/>
              <w:jc w:val="left"/>
            </w:pPr>
            <w:r>
              <w:t xml:space="preserve">Taxa de Electrificação</w:t>
            </w:r>
          </w:p>
        </w:tc>
        <w:tc>
          <w:tcPr/>
          <w:p>
            <w:pPr>
              <w:pStyle w:val="Compact"/>
              <w:jc w:val="left"/>
            </w:pPr>
            <w:r>
              <w:t xml:space="preserve">%</w:t>
            </w:r>
          </w:p>
        </w:tc>
        <w:tc>
          <w:tcPr/>
          <w:p>
            <w:pPr>
              <w:pStyle w:val="Compact"/>
              <w:jc w:val="left"/>
            </w:pPr>
            <w:r>
              <w:t xml:space="preserve">+</w:t>
            </w:r>
          </w:p>
        </w:tc>
        <w:tc>
          <w:tcPr/>
          <w:p>
            <w:pPr>
              <w:pStyle w:val="Compact"/>
              <w:jc w:val="left"/>
            </w:pPr>
            <w:r>
              <w:t xml:space="preserve">82%</w:t>
            </w:r>
          </w:p>
        </w:tc>
        <w:tc>
          <w:tcPr/>
          <w:p>
            <w:pPr>
              <w:pStyle w:val="Compact"/>
              <w:jc w:val="left"/>
            </w:pPr>
            <w:r>
              <w:t xml:space="preserve">MINEA</w:t>
            </w:r>
          </w:p>
        </w:tc>
      </w:tr>
      <w:tr>
        <w:tc>
          <w:tcPr/>
          <w:p>
            <w:pPr>
              <w:pStyle w:val="Compact"/>
              <w:jc w:val="left"/>
            </w:pPr>
            <w:r>
              <w:t xml:space="preserve">INF05</w:t>
            </w:r>
          </w:p>
        </w:tc>
        <w:tc>
          <w:tcPr/>
          <w:p>
            <w:pPr>
              <w:pStyle w:val="Compact"/>
              <w:jc w:val="left"/>
            </w:pPr>
            <w:r>
              <w:t xml:space="preserve">Acesso a energia limpa para cozinhar</w:t>
            </w:r>
          </w:p>
        </w:tc>
        <w:tc>
          <w:tcPr/>
          <w:p>
            <w:pPr>
              <w:pStyle w:val="Compact"/>
              <w:jc w:val="left"/>
            </w:pPr>
            <w:r>
              <w:t xml:space="preserve">%</w:t>
            </w:r>
          </w:p>
        </w:tc>
        <w:tc>
          <w:tcPr/>
          <w:p>
            <w:pPr>
              <w:pStyle w:val="Compact"/>
              <w:jc w:val="left"/>
            </w:pPr>
            <w:r>
              <w:t xml:space="preserve">+</w:t>
            </w:r>
          </w:p>
        </w:tc>
        <w:tc>
          <w:tcPr/>
          <w:p>
            <w:pPr>
              <w:pStyle w:val="Compact"/>
              <w:jc w:val="left"/>
            </w:pPr>
            <w:r>
              <w:t xml:space="preserve">82%</w:t>
            </w:r>
          </w:p>
        </w:tc>
        <w:tc>
          <w:tcPr/>
          <w:p>
            <w:pPr>
              <w:pStyle w:val="Compact"/>
              <w:jc w:val="left"/>
            </w:pPr>
            <w:r>
              <w:t xml:space="preserve">Banco Mundial/OMS</w:t>
            </w:r>
          </w:p>
        </w:tc>
      </w:tr>
      <w:tr>
        <w:tc>
          <w:tcPr/>
          <w:p>
            <w:pPr>
              <w:pStyle w:val="Compact"/>
              <w:jc w:val="left"/>
            </w:pPr>
            <w:r>
              <w:t xml:space="preserve">INF024</w:t>
            </w:r>
          </w:p>
        </w:tc>
        <w:tc>
          <w:tcPr/>
          <w:p>
            <w:pPr>
              <w:pStyle w:val="Compact"/>
              <w:jc w:val="left"/>
            </w:pPr>
            <w:r>
              <w:t xml:space="preserve">Tráfego portuário de contentores</w:t>
            </w:r>
          </w:p>
        </w:tc>
        <w:tc>
          <w:tcPr/>
          <w:p>
            <w:pPr>
              <w:pStyle w:val="Compact"/>
              <w:jc w:val="left"/>
            </w:pPr>
            <w:r>
              <w:t xml:space="preserve">TEU</w:t>
            </w:r>
          </w:p>
        </w:tc>
        <w:tc>
          <w:tcPr/>
          <w:p>
            <w:pPr>
              <w:pStyle w:val="Compact"/>
              <w:jc w:val="left"/>
            </w:pPr>
            <w:r>
              <w:t xml:space="preserve">+</w:t>
            </w:r>
          </w:p>
        </w:tc>
        <w:tc>
          <w:tcPr/>
          <w:p>
            <w:pPr>
              <w:pStyle w:val="Compact"/>
              <w:jc w:val="left"/>
            </w:pPr>
            <w:r>
              <w:t xml:space="preserve">91%</w:t>
            </w:r>
          </w:p>
        </w:tc>
        <w:tc>
          <w:tcPr/>
          <w:p>
            <w:pPr>
              <w:pStyle w:val="Compact"/>
              <w:jc w:val="left"/>
            </w:pPr>
            <w:r>
              <w:t xml:space="preserve">Banco Mundial/WDI</w:t>
            </w:r>
          </w:p>
        </w:tc>
      </w:tr>
      <w:tr>
        <w:tc>
          <w:tcPr/>
          <w:p>
            <w:pPr>
              <w:pStyle w:val="Compact"/>
              <w:jc w:val="left"/>
            </w:pPr>
            <w:r>
              <w:rPr>
                <w:bCs/>
                <w:b/>
              </w:rPr>
              <w:t xml:space="preserve">6. Mercado de Trabalho</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LAB001</w:t>
            </w:r>
          </w:p>
        </w:tc>
        <w:tc>
          <w:tcPr/>
          <w:p>
            <w:pPr>
              <w:pStyle w:val="Compact"/>
              <w:jc w:val="left"/>
            </w:pPr>
            <w:r>
              <w:t xml:space="preserve">Taxa de Emprego</w:t>
            </w:r>
          </w:p>
        </w:tc>
        <w:tc>
          <w:tcPr/>
          <w:p>
            <w:pPr>
              <w:pStyle w:val="Compact"/>
              <w:jc w:val="left"/>
            </w:pPr>
            <w:r>
              <w:t xml:space="preserve">%</w:t>
            </w:r>
          </w:p>
        </w:tc>
        <w:tc>
          <w:tcPr/>
          <w:p>
            <w:pPr>
              <w:pStyle w:val="Compact"/>
              <w:jc w:val="left"/>
            </w:pPr>
            <w:r>
              <w:t xml:space="preserve">+</w:t>
            </w:r>
          </w:p>
        </w:tc>
        <w:tc>
          <w:tcPr/>
          <w:p>
            <w:pPr>
              <w:pStyle w:val="Compact"/>
              <w:jc w:val="left"/>
            </w:pPr>
            <w:r>
              <w:t xml:space="preserve">100%</w:t>
            </w:r>
          </w:p>
        </w:tc>
        <w:tc>
          <w:tcPr/>
          <w:p>
            <w:pPr>
              <w:pStyle w:val="Compact"/>
              <w:jc w:val="left"/>
            </w:pPr>
            <w:r>
              <w:t xml:space="preserve">INE</w:t>
            </w:r>
          </w:p>
        </w:tc>
      </w:tr>
      <w:tr>
        <w:tc>
          <w:tcPr/>
          <w:p>
            <w:pPr>
              <w:pStyle w:val="Compact"/>
              <w:jc w:val="left"/>
            </w:pPr>
            <w:r>
              <w:t xml:space="preserve">LAB002</w:t>
            </w:r>
          </w:p>
        </w:tc>
        <w:tc>
          <w:tcPr/>
          <w:p>
            <w:pPr>
              <w:pStyle w:val="Compact"/>
              <w:jc w:val="left"/>
            </w:pPr>
            <w:r>
              <w:t xml:space="preserve">Taxa de Desemprego</w:t>
            </w:r>
          </w:p>
        </w:tc>
        <w:tc>
          <w:tcPr/>
          <w:p>
            <w:pPr>
              <w:pStyle w:val="Compact"/>
              <w:jc w:val="left"/>
            </w:pPr>
            <w:r>
              <w:t xml:space="preserve">%</w:t>
            </w:r>
          </w:p>
        </w:tc>
        <w:tc>
          <w:tcPr/>
          <w:p>
            <w:pPr>
              <w:pStyle w:val="Compact"/>
              <w:jc w:val="left"/>
            </w:pPr>
            <w:r>
              <w:t xml:space="preserve">−</w:t>
            </w:r>
          </w:p>
        </w:tc>
        <w:tc>
          <w:tcPr/>
          <w:p>
            <w:pPr>
              <w:pStyle w:val="Compact"/>
              <w:jc w:val="left"/>
            </w:pPr>
            <w:r>
              <w:t xml:space="preserve">100%</w:t>
            </w:r>
          </w:p>
        </w:tc>
        <w:tc>
          <w:tcPr/>
          <w:p>
            <w:pPr>
              <w:pStyle w:val="Compact"/>
              <w:jc w:val="left"/>
            </w:pPr>
            <w:r>
              <w:t xml:space="preserve">INE</w:t>
            </w:r>
          </w:p>
        </w:tc>
      </w:tr>
      <w:tr>
        <w:tc>
          <w:tcPr/>
          <w:p>
            <w:pPr>
              <w:pStyle w:val="Compact"/>
              <w:jc w:val="left"/>
            </w:pPr>
            <w:r>
              <w:t xml:space="preserve">LAB003</w:t>
            </w:r>
          </w:p>
        </w:tc>
        <w:tc>
          <w:tcPr/>
          <w:p>
            <w:pPr>
              <w:pStyle w:val="Compact"/>
              <w:jc w:val="left"/>
            </w:pPr>
            <w:r>
              <w:t xml:space="preserve">Desemprego Juvenil (15-25)</w:t>
            </w:r>
          </w:p>
        </w:tc>
        <w:tc>
          <w:tcPr/>
          <w:p>
            <w:pPr>
              <w:pStyle w:val="Compact"/>
              <w:jc w:val="left"/>
            </w:pPr>
            <w:r>
              <w:t xml:space="preserve">%</w:t>
            </w:r>
          </w:p>
        </w:tc>
        <w:tc>
          <w:tcPr/>
          <w:p>
            <w:pPr>
              <w:pStyle w:val="Compact"/>
              <w:jc w:val="left"/>
            </w:pPr>
            <w:r>
              <w:t xml:space="preserve">−</w:t>
            </w:r>
          </w:p>
        </w:tc>
        <w:tc>
          <w:tcPr/>
          <w:p>
            <w:pPr>
              <w:pStyle w:val="Compact"/>
              <w:jc w:val="left"/>
            </w:pPr>
            <w:r>
              <w:t xml:space="preserve">100%</w:t>
            </w:r>
          </w:p>
        </w:tc>
        <w:tc>
          <w:tcPr/>
          <w:p>
            <w:pPr>
              <w:pStyle w:val="Compact"/>
              <w:jc w:val="left"/>
            </w:pPr>
            <w:r>
              <w:t xml:space="preserve">INE</w:t>
            </w:r>
          </w:p>
        </w:tc>
      </w:tr>
      <w:tr>
        <w:tc>
          <w:tcPr/>
          <w:p>
            <w:pPr>
              <w:pStyle w:val="Compact"/>
              <w:jc w:val="left"/>
            </w:pPr>
            <w:r>
              <w:t xml:space="preserve">LAB016</w:t>
            </w:r>
          </w:p>
        </w:tc>
        <w:tc>
          <w:tcPr/>
          <w:p>
            <w:pPr>
              <w:pStyle w:val="Compact"/>
              <w:jc w:val="left"/>
            </w:pPr>
            <w:r>
              <w:t xml:space="preserve">Participação feminina na força de trabalho - OIT modelada</w:t>
            </w:r>
          </w:p>
        </w:tc>
        <w:tc>
          <w:tcPr/>
          <w:p>
            <w:pPr>
              <w:pStyle w:val="Compact"/>
              <w:jc w:val="left"/>
            </w:pPr>
            <w:r>
              <w:t xml:space="preserve">%</w:t>
            </w:r>
          </w:p>
        </w:tc>
        <w:tc>
          <w:tcPr/>
          <w:p>
            <w:pPr>
              <w:pStyle w:val="Compact"/>
              <w:jc w:val="left"/>
            </w:pPr>
            <w:r>
              <w:t xml:space="preserve">+</w:t>
            </w:r>
          </w:p>
        </w:tc>
        <w:tc>
          <w:tcPr/>
          <w:p>
            <w:pPr>
              <w:pStyle w:val="Compact"/>
              <w:jc w:val="left"/>
            </w:pPr>
            <w:r>
              <w:t xml:space="preserve">100%</w:t>
            </w:r>
          </w:p>
        </w:tc>
        <w:tc>
          <w:tcPr/>
          <w:p>
            <w:pPr>
              <w:pStyle w:val="Compact"/>
              <w:jc w:val="left"/>
            </w:pPr>
            <w:r>
              <w:t xml:space="preserve">Banco Mundial/OIT</w:t>
            </w:r>
          </w:p>
        </w:tc>
      </w:tr>
      <w:tr>
        <w:tc>
          <w:tcPr/>
          <w:p>
            <w:pPr>
              <w:pStyle w:val="Compact"/>
              <w:jc w:val="left"/>
            </w:pPr>
            <w:r>
              <w:t xml:space="preserve">LAB025</w:t>
            </w:r>
          </w:p>
        </w:tc>
        <w:tc>
          <w:tcPr/>
          <w:p>
            <w:pPr>
              <w:pStyle w:val="Compact"/>
              <w:jc w:val="left"/>
            </w:pPr>
            <w:r>
              <w:t xml:space="preserve">Produto por trabalhador - OIT</w:t>
            </w:r>
          </w:p>
        </w:tc>
        <w:tc>
          <w:tcPr/>
          <w:p>
            <w:pPr>
              <w:pStyle w:val="Compact"/>
              <w:jc w:val="left"/>
            </w:pPr>
            <w:r>
              <w:t xml:space="preserve">USD constantes 2015</w:t>
            </w:r>
          </w:p>
        </w:tc>
        <w:tc>
          <w:tcPr/>
          <w:p>
            <w:pPr>
              <w:pStyle w:val="Compact"/>
              <w:jc w:val="left"/>
            </w:pPr>
            <w:r>
              <w:t xml:space="preserve">+</w:t>
            </w:r>
          </w:p>
        </w:tc>
        <w:tc>
          <w:tcPr/>
          <w:p>
            <w:pPr>
              <w:pStyle w:val="Compact"/>
              <w:jc w:val="left"/>
            </w:pPr>
            <w:r>
              <w:t xml:space="preserve">100%</w:t>
            </w:r>
          </w:p>
        </w:tc>
        <w:tc>
          <w:tcPr/>
          <w:p>
            <w:pPr>
              <w:pStyle w:val="Compact"/>
              <w:jc w:val="left"/>
            </w:pPr>
            <w:r>
              <w:t xml:space="preserve">OIT/ILOSTAT</w:t>
            </w:r>
          </w:p>
        </w:tc>
      </w:tr>
      <w:tr>
        <w:tc>
          <w:tcPr/>
          <w:p>
            <w:pPr>
              <w:pStyle w:val="Compact"/>
              <w:jc w:val="left"/>
            </w:pPr>
            <w:r>
              <w:rPr>
                <w:bCs/>
                <w:b/>
              </w:rPr>
              <w:t xml:space="preserve">7. Segurança Alimentar e Saúde</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SAU003</w:t>
            </w:r>
          </w:p>
        </w:tc>
        <w:tc>
          <w:tcPr/>
          <w:p>
            <w:pPr>
              <w:pStyle w:val="Compact"/>
              <w:jc w:val="left"/>
            </w:pPr>
            <w:r>
              <w:t xml:space="preserve">Mortalidade Materna (por 100k)</w:t>
            </w:r>
          </w:p>
        </w:tc>
        <w:tc>
          <w:tcPr/>
          <w:p>
            <w:pPr>
              <w:pStyle w:val="Compact"/>
              <w:jc w:val="left"/>
            </w:pPr>
            <w:r>
              <w:t xml:space="preserve">por 100k</w:t>
            </w:r>
          </w:p>
        </w:tc>
        <w:tc>
          <w:tcPr/>
          <w:p>
            <w:pPr>
              <w:pStyle w:val="Compact"/>
              <w:jc w:val="left"/>
            </w:pPr>
            <w:r>
              <w:t xml:space="preserve">−</w:t>
            </w:r>
          </w:p>
        </w:tc>
        <w:tc>
          <w:tcPr/>
          <w:p>
            <w:pPr>
              <w:pStyle w:val="Compact"/>
              <w:jc w:val="left"/>
            </w:pPr>
            <w:r>
              <w:t xml:space="preserve">100%</w:t>
            </w:r>
          </w:p>
        </w:tc>
        <w:tc>
          <w:tcPr/>
          <w:p>
            <w:pPr>
              <w:pStyle w:val="Compact"/>
              <w:jc w:val="left"/>
            </w:pPr>
            <w:r>
              <w:t xml:space="preserve">MINSA/OMS</w:t>
            </w:r>
          </w:p>
        </w:tc>
      </w:tr>
      <w:tr>
        <w:tc>
          <w:tcPr/>
          <w:p>
            <w:pPr>
              <w:pStyle w:val="Compact"/>
              <w:jc w:val="left"/>
            </w:pPr>
            <w:r>
              <w:t xml:space="preserve">SAU006</w:t>
            </w:r>
          </w:p>
        </w:tc>
        <w:tc>
          <w:tcPr/>
          <w:p>
            <w:pPr>
              <w:pStyle w:val="Compact"/>
              <w:jc w:val="left"/>
            </w:pPr>
            <w:r>
              <w:t xml:space="preserve">Cobertura Vacinal (%)</w:t>
            </w:r>
          </w:p>
        </w:tc>
        <w:tc>
          <w:tcPr/>
          <w:p>
            <w:pPr>
              <w:pStyle w:val="Compact"/>
              <w:jc w:val="left"/>
            </w:pPr>
            <w:r>
              <w:t xml:space="preserve">%</w:t>
            </w:r>
          </w:p>
        </w:tc>
        <w:tc>
          <w:tcPr/>
          <w:p>
            <w:pPr>
              <w:pStyle w:val="Compact"/>
              <w:jc w:val="left"/>
            </w:pPr>
            <w:r>
              <w:t xml:space="preserve">+</w:t>
            </w:r>
          </w:p>
        </w:tc>
        <w:tc>
          <w:tcPr/>
          <w:p>
            <w:pPr>
              <w:pStyle w:val="Compact"/>
              <w:jc w:val="left"/>
            </w:pPr>
            <w:r>
              <w:t xml:space="preserve">91%</w:t>
            </w:r>
          </w:p>
        </w:tc>
        <w:tc>
          <w:tcPr/>
          <w:p>
            <w:pPr>
              <w:pStyle w:val="Compact"/>
              <w:jc w:val="left"/>
            </w:pPr>
            <w:r>
              <w:t xml:space="preserve">MINSA/OMS</w:t>
            </w:r>
          </w:p>
        </w:tc>
      </w:tr>
      <w:tr>
        <w:tc>
          <w:tcPr/>
          <w:p>
            <w:pPr>
              <w:pStyle w:val="Compact"/>
              <w:jc w:val="left"/>
            </w:pPr>
            <w:r>
              <w:t xml:space="preserve">SAU002</w:t>
            </w:r>
          </w:p>
        </w:tc>
        <w:tc>
          <w:tcPr/>
          <w:p>
            <w:pPr>
              <w:pStyle w:val="Compact"/>
              <w:jc w:val="left"/>
            </w:pPr>
            <w:r>
              <w:t xml:space="preserve">Prevalência de Desnutrição</w:t>
            </w:r>
          </w:p>
        </w:tc>
        <w:tc>
          <w:tcPr/>
          <w:p>
            <w:pPr>
              <w:pStyle w:val="Compact"/>
              <w:jc w:val="left"/>
            </w:pPr>
            <w:r>
              <w:t xml:space="preserve">%</w:t>
            </w:r>
          </w:p>
        </w:tc>
        <w:tc>
          <w:tcPr/>
          <w:p>
            <w:pPr>
              <w:pStyle w:val="Compact"/>
              <w:jc w:val="left"/>
            </w:pPr>
            <w:r>
              <w:t xml:space="preserve">−</w:t>
            </w:r>
          </w:p>
        </w:tc>
        <w:tc>
          <w:tcPr/>
          <w:p>
            <w:pPr>
              <w:pStyle w:val="Compact"/>
              <w:jc w:val="left"/>
            </w:pPr>
            <w:r>
              <w:t xml:space="preserve">82%</w:t>
            </w:r>
          </w:p>
        </w:tc>
        <w:tc>
          <w:tcPr/>
          <w:p>
            <w:pPr>
              <w:pStyle w:val="Compact"/>
              <w:jc w:val="left"/>
            </w:pPr>
            <w:r>
              <w:t xml:space="preserve">MINSA/FAO</w:t>
            </w:r>
          </w:p>
        </w:tc>
      </w:tr>
      <w:tr>
        <w:tc>
          <w:tcPr/>
          <w:p>
            <w:pPr>
              <w:pStyle w:val="Compact"/>
              <w:jc w:val="left"/>
            </w:pPr>
            <w:r>
              <w:t xml:space="preserve">SAU004</w:t>
            </w:r>
          </w:p>
        </w:tc>
        <w:tc>
          <w:tcPr/>
          <w:p>
            <w:pPr>
              <w:pStyle w:val="Compact"/>
              <w:jc w:val="left"/>
            </w:pPr>
            <w:r>
              <w:t xml:space="preserve">Despesas Saúde (% PIB)</w:t>
            </w:r>
          </w:p>
        </w:tc>
        <w:tc>
          <w:tcPr/>
          <w:p>
            <w:pPr>
              <w:pStyle w:val="Compact"/>
              <w:jc w:val="left"/>
            </w:pPr>
            <w:r>
              <w:t xml:space="preserve">%</w:t>
            </w:r>
          </w:p>
        </w:tc>
        <w:tc>
          <w:tcPr/>
          <w:p>
            <w:pPr>
              <w:pStyle w:val="Compact"/>
              <w:jc w:val="left"/>
            </w:pPr>
            <w:r>
              <w:t xml:space="preserve">+</w:t>
            </w:r>
          </w:p>
        </w:tc>
        <w:tc>
          <w:tcPr/>
          <w:p>
            <w:pPr>
              <w:pStyle w:val="Compact"/>
              <w:jc w:val="left"/>
            </w:pPr>
            <w:r>
              <w:t xml:space="preserve">82%</w:t>
            </w:r>
          </w:p>
        </w:tc>
        <w:tc>
          <w:tcPr/>
          <w:p>
            <w:pPr>
              <w:pStyle w:val="Compact"/>
              <w:jc w:val="left"/>
            </w:pPr>
            <w:r>
              <w:t xml:space="preserve">MINFIN/OMS</w:t>
            </w:r>
          </w:p>
        </w:tc>
      </w:tr>
      <w:tr>
        <w:tc>
          <w:tcPr/>
          <w:p>
            <w:pPr>
              <w:pStyle w:val="Compact"/>
              <w:jc w:val="left"/>
            </w:pPr>
            <w:r>
              <w:t xml:space="preserve">SAU020</w:t>
            </w:r>
          </w:p>
        </w:tc>
        <w:tc>
          <w:tcPr/>
          <w:p>
            <w:pPr>
              <w:pStyle w:val="Compact"/>
              <w:jc w:val="left"/>
            </w:pPr>
            <w:r>
              <w:t xml:space="preserve">Incidência de malária</w:t>
            </w:r>
          </w:p>
        </w:tc>
        <w:tc>
          <w:tcPr/>
          <w:p>
            <w:pPr>
              <w:pStyle w:val="Compact"/>
              <w:jc w:val="left"/>
            </w:pPr>
            <w:r>
              <w:t xml:space="preserve">por 1.000 em risco</w:t>
            </w:r>
          </w:p>
        </w:tc>
        <w:tc>
          <w:tcPr/>
          <w:p>
            <w:pPr>
              <w:pStyle w:val="Compact"/>
              <w:jc w:val="left"/>
            </w:pPr>
            <w:r>
              <w:t xml:space="preserve">−</w:t>
            </w:r>
          </w:p>
        </w:tc>
        <w:tc>
          <w:tcPr/>
          <w:p>
            <w:pPr>
              <w:pStyle w:val="Compact"/>
              <w:jc w:val="left"/>
            </w:pPr>
            <w:r>
              <w:t xml:space="preserve">91%</w:t>
            </w:r>
          </w:p>
        </w:tc>
        <w:tc>
          <w:tcPr/>
          <w:p>
            <w:pPr>
              <w:pStyle w:val="Compact"/>
              <w:jc w:val="left"/>
            </w:pPr>
            <w:r>
              <w:t xml:space="preserve">Banco Mundial/OMS</w:t>
            </w:r>
          </w:p>
        </w:tc>
      </w:tr>
      <w:tr>
        <w:tc>
          <w:tcPr/>
          <w:p>
            <w:pPr>
              <w:pStyle w:val="Compact"/>
              <w:jc w:val="left"/>
            </w:pPr>
            <w:r>
              <w:t xml:space="preserve">SAU04</w:t>
            </w:r>
          </w:p>
        </w:tc>
        <w:tc>
          <w:tcPr/>
          <w:p>
            <w:pPr>
              <w:pStyle w:val="Compact"/>
              <w:jc w:val="left"/>
            </w:pPr>
            <w:r>
              <w:t xml:space="preserve">Mortalidade de menores de 5 anos</w:t>
            </w:r>
          </w:p>
        </w:tc>
        <w:tc>
          <w:tcPr/>
          <w:p>
            <w:pPr>
              <w:pStyle w:val="Compact"/>
              <w:jc w:val="left"/>
            </w:pPr>
            <w:r>
              <w:t xml:space="preserve">por 1000</w:t>
            </w:r>
          </w:p>
        </w:tc>
        <w:tc>
          <w:tcPr/>
          <w:p>
            <w:pPr>
              <w:pStyle w:val="Compact"/>
              <w:jc w:val="left"/>
            </w:pPr>
            <w:r>
              <w:t xml:space="preserve">−</w:t>
            </w:r>
          </w:p>
        </w:tc>
        <w:tc>
          <w:tcPr/>
          <w:p>
            <w:pPr>
              <w:pStyle w:val="Compact"/>
              <w:jc w:val="left"/>
            </w:pPr>
            <w:r>
              <w:t xml:space="preserve">91%</w:t>
            </w:r>
          </w:p>
        </w:tc>
        <w:tc>
          <w:tcPr/>
          <w:p>
            <w:pPr>
              <w:pStyle w:val="Compact"/>
              <w:jc w:val="left"/>
            </w:pPr>
            <w:r>
              <w:t xml:space="preserve">Banco Mundial/UNICEF</w:t>
            </w:r>
          </w:p>
        </w:tc>
      </w:tr>
      <w:tr>
        <w:tc>
          <w:tcPr/>
          <w:p>
            <w:pPr>
              <w:pStyle w:val="Compact"/>
              <w:jc w:val="left"/>
            </w:pPr>
            <w:r>
              <w:t xml:space="preserve">SAU017</w:t>
            </w:r>
          </w:p>
        </w:tc>
        <w:tc>
          <w:tcPr/>
          <w:p>
            <w:pPr>
              <w:pStyle w:val="Compact"/>
              <w:jc w:val="left"/>
            </w:pPr>
            <w:r>
              <w:t xml:space="preserve">Despesa direta das famílias em saúde</w:t>
            </w:r>
          </w:p>
        </w:tc>
        <w:tc>
          <w:tcPr/>
          <w:p>
            <w:pPr>
              <w:pStyle w:val="Compact"/>
              <w:jc w:val="left"/>
            </w:pPr>
            <w:r>
              <w:t xml:space="preserve">% despesa corrente em saúde</w:t>
            </w:r>
          </w:p>
        </w:tc>
        <w:tc>
          <w:tcPr/>
          <w:p>
            <w:pPr>
              <w:pStyle w:val="Compact"/>
              <w:jc w:val="left"/>
            </w:pPr>
            <w:r>
              <w:t xml:space="preserve">−</w:t>
            </w:r>
          </w:p>
        </w:tc>
        <w:tc>
          <w:tcPr/>
          <w:p>
            <w:pPr>
              <w:pStyle w:val="Compact"/>
              <w:jc w:val="left"/>
            </w:pPr>
            <w:r>
              <w:t xml:space="preserve">82%</w:t>
            </w:r>
          </w:p>
        </w:tc>
        <w:tc>
          <w:tcPr/>
          <w:p>
            <w:pPr>
              <w:pStyle w:val="Compact"/>
              <w:jc w:val="left"/>
            </w:pPr>
            <w:r>
              <w:t xml:space="preserve">Banco Mundial/OMS</w:t>
            </w:r>
          </w:p>
        </w:tc>
      </w:tr>
      <w:tr>
        <w:tc>
          <w:tcPr/>
          <w:p>
            <w:pPr>
              <w:pStyle w:val="Compact"/>
              <w:jc w:val="left"/>
            </w:pPr>
            <w:r>
              <w:rPr>
                <w:bCs/>
                <w:b/>
              </w:rPr>
              <w:t xml:space="preserve">8. Diversificação Produtiva e Setor Privado</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DIV017</w:t>
            </w:r>
          </w:p>
        </w:tc>
        <w:tc>
          <w:tcPr/>
          <w:p>
            <w:pPr>
              <w:pStyle w:val="Compact"/>
              <w:jc w:val="left"/>
            </w:pPr>
            <w:r>
              <w:t xml:space="preserve">Crescimento do PIB não petrolífero</w:t>
            </w:r>
          </w:p>
        </w:tc>
        <w:tc>
          <w:tcPr/>
          <w:p>
            <w:pPr>
              <w:pStyle w:val="Compact"/>
              <w:jc w:val="left"/>
            </w:pPr>
            <w:r>
              <w:t xml:space="preserve">%</w:t>
            </w:r>
          </w:p>
        </w:tc>
        <w:tc>
          <w:tcPr/>
          <w:p>
            <w:pPr>
              <w:pStyle w:val="Compact"/>
              <w:jc w:val="left"/>
            </w:pPr>
            <w:r>
              <w:t xml:space="preserve">+</w:t>
            </w:r>
          </w:p>
        </w:tc>
        <w:tc>
          <w:tcPr/>
          <w:p>
            <w:pPr>
              <w:pStyle w:val="Compact"/>
              <w:jc w:val="left"/>
            </w:pPr>
            <w:r>
              <w:t xml:space="preserve">100%</w:t>
            </w:r>
          </w:p>
        </w:tc>
        <w:tc>
          <w:tcPr/>
          <w:p>
            <w:pPr>
              <w:pStyle w:val="Compact"/>
              <w:jc w:val="left"/>
            </w:pPr>
            <w:r>
              <w:t xml:space="preserve">INE — Contas Nacionais</w:t>
            </w:r>
          </w:p>
        </w:tc>
      </w:tr>
      <w:tr>
        <w:tc>
          <w:tcPr/>
          <w:p>
            <w:pPr>
              <w:pStyle w:val="Compact"/>
              <w:jc w:val="left"/>
            </w:pPr>
            <w:r>
              <w:t xml:space="preserve">DIV007</w:t>
            </w:r>
          </w:p>
        </w:tc>
        <w:tc>
          <w:tcPr/>
          <w:p>
            <w:pPr>
              <w:pStyle w:val="Compact"/>
              <w:jc w:val="left"/>
            </w:pPr>
            <w:r>
              <w:t xml:space="preserve">Indústria transformadora no PIB</w:t>
            </w:r>
          </w:p>
        </w:tc>
        <w:tc>
          <w:tcPr/>
          <w:p>
            <w:pPr>
              <w:pStyle w:val="Compact"/>
              <w:jc w:val="left"/>
            </w:pPr>
            <w:r>
              <w:t xml:space="preserve">% PIB</w:t>
            </w:r>
          </w:p>
        </w:tc>
        <w:tc>
          <w:tcPr/>
          <w:p>
            <w:pPr>
              <w:pStyle w:val="Compact"/>
              <w:jc w:val="left"/>
            </w:pPr>
            <w:r>
              <w:t xml:space="preserve">+</w:t>
            </w:r>
          </w:p>
        </w:tc>
        <w:tc>
          <w:tcPr/>
          <w:p>
            <w:pPr>
              <w:pStyle w:val="Compact"/>
              <w:jc w:val="left"/>
            </w:pPr>
            <w:r>
              <w:t xml:space="preserve">100%</w:t>
            </w:r>
          </w:p>
        </w:tc>
        <w:tc>
          <w:tcPr/>
          <w:p>
            <w:pPr>
              <w:pStyle w:val="Compact"/>
              <w:jc w:val="left"/>
            </w:pPr>
            <w:r>
              <w:t xml:space="preserve">Banco Mundial/WDI</w:t>
            </w:r>
          </w:p>
        </w:tc>
      </w:tr>
      <w:tr>
        <w:tc>
          <w:tcPr/>
          <w:p>
            <w:pPr>
              <w:pStyle w:val="Compact"/>
              <w:jc w:val="left"/>
            </w:pPr>
            <w:r>
              <w:t xml:space="preserve">DIV015</w:t>
            </w:r>
          </w:p>
        </w:tc>
        <w:tc>
          <w:tcPr/>
          <w:p>
            <w:pPr>
              <w:pStyle w:val="Compact"/>
              <w:jc w:val="left"/>
            </w:pPr>
            <w:r>
              <w:t xml:space="preserve">Crédito doméstico ao setor privado</w:t>
            </w:r>
          </w:p>
        </w:tc>
        <w:tc>
          <w:tcPr/>
          <w:p>
            <w:pPr>
              <w:pStyle w:val="Compact"/>
              <w:jc w:val="left"/>
            </w:pPr>
            <w:r>
              <w:t xml:space="preserve">% PIB</w:t>
            </w:r>
          </w:p>
        </w:tc>
        <w:tc>
          <w:tcPr/>
          <w:p>
            <w:pPr>
              <w:pStyle w:val="Compact"/>
              <w:jc w:val="left"/>
            </w:pPr>
            <w:r>
              <w:t xml:space="preserve">+</w:t>
            </w:r>
          </w:p>
        </w:tc>
        <w:tc>
          <w:tcPr/>
          <w:p>
            <w:pPr>
              <w:pStyle w:val="Compact"/>
              <w:jc w:val="left"/>
            </w:pPr>
            <w:r>
              <w:t xml:space="preserve">100%</w:t>
            </w:r>
          </w:p>
        </w:tc>
        <w:tc>
          <w:tcPr/>
          <w:p>
            <w:pPr>
              <w:pStyle w:val="Compact"/>
              <w:jc w:val="left"/>
            </w:pPr>
            <w:r>
              <w:t xml:space="preserve">Banco Mundial/WDI</w:t>
            </w:r>
          </w:p>
        </w:tc>
      </w:tr>
      <w:tr>
        <w:tc>
          <w:tcPr/>
          <w:p>
            <w:pPr>
              <w:pStyle w:val="Compact"/>
              <w:jc w:val="left"/>
            </w:pPr>
            <w:r>
              <w:t xml:space="preserve">DIV001</w:t>
            </w:r>
          </w:p>
        </w:tc>
        <w:tc>
          <w:tcPr/>
          <w:p>
            <w:pPr>
              <w:pStyle w:val="Compact"/>
              <w:jc w:val="left"/>
            </w:pPr>
            <w:r>
              <w:t xml:space="preserve">Productive Capacities Index - geral</w:t>
            </w:r>
          </w:p>
        </w:tc>
        <w:tc>
          <w:tcPr/>
          <w:p>
            <w:pPr>
              <w:pStyle w:val="Compact"/>
              <w:jc w:val="left"/>
            </w:pPr>
            <w:r>
              <w:t xml:space="preserve">índice</w:t>
            </w:r>
          </w:p>
        </w:tc>
        <w:tc>
          <w:tcPr/>
          <w:p>
            <w:pPr>
              <w:pStyle w:val="Compact"/>
              <w:jc w:val="left"/>
            </w:pPr>
            <w:r>
              <w:t xml:space="preserve">+</w:t>
            </w:r>
          </w:p>
        </w:tc>
        <w:tc>
          <w:tcPr/>
          <w:p>
            <w:pPr>
              <w:pStyle w:val="Compact"/>
              <w:jc w:val="left"/>
            </w:pPr>
            <w:r>
              <w:t xml:space="preserve">91%</w:t>
            </w:r>
          </w:p>
        </w:tc>
        <w:tc>
          <w:tcPr/>
          <w:p>
            <w:pPr>
              <w:pStyle w:val="Compact"/>
              <w:jc w:val="left"/>
            </w:pPr>
            <w:r>
              <w:t xml:space="preserve">UNCTADstat</w:t>
            </w:r>
          </w:p>
        </w:tc>
      </w:tr>
      <w:tr>
        <w:tc>
          <w:tcPr/>
          <w:p>
            <w:pPr>
              <w:pStyle w:val="Compact"/>
              <w:jc w:val="left"/>
            </w:pPr>
            <w:r>
              <w:t xml:space="preserve">DIV010</w:t>
            </w:r>
          </w:p>
        </w:tc>
        <w:tc>
          <w:tcPr/>
          <w:p>
            <w:pPr>
              <w:pStyle w:val="Compact"/>
              <w:jc w:val="left"/>
            </w:pPr>
            <w:r>
              <w:t xml:space="preserve">Combustíveis nas exportações de mercadorias</w:t>
            </w:r>
          </w:p>
        </w:tc>
        <w:tc>
          <w:tcPr/>
          <w:p>
            <w:pPr>
              <w:pStyle w:val="Compact"/>
              <w:jc w:val="left"/>
            </w:pPr>
            <w:r>
              <w:t xml:space="preserve">% exportações mercadorias</w:t>
            </w:r>
          </w:p>
        </w:tc>
        <w:tc>
          <w:tcPr/>
          <w:p>
            <w:pPr>
              <w:pStyle w:val="Compact"/>
              <w:jc w:val="left"/>
            </w:pPr>
            <w:r>
              <w:t xml:space="preserve">−</w:t>
            </w:r>
          </w:p>
        </w:tc>
        <w:tc>
          <w:tcPr/>
          <w:p>
            <w:pPr>
              <w:pStyle w:val="Compact"/>
              <w:jc w:val="left"/>
            </w:pPr>
            <w:r>
              <w:t xml:space="preserve">91%</w:t>
            </w:r>
          </w:p>
        </w:tc>
        <w:tc>
          <w:tcPr/>
          <w:p>
            <w:pPr>
              <w:pStyle w:val="Compact"/>
              <w:jc w:val="left"/>
            </w:pPr>
            <w:r>
              <w:t xml:space="preserve">Banco Mundial/WDI</w:t>
            </w:r>
          </w:p>
        </w:tc>
      </w:tr>
    </w:tbl>
    <w:p>
      <w:pPr>
        <w:pStyle w:val="BodyText"/>
      </w:pPr>
      <w:r>
        <w:rPr>
          <w:iCs/>
          <w:i/>
        </w:rPr>
        <w:t xml:space="preserve">A</w:t>
      </w:r>
      <w:r>
        <w:rPr>
          <w:iCs/>
          <w:i/>
        </w:rPr>
        <w:t xml:space="preserve"> </w:t>
      </w:r>
      <w:r>
        <w:rPr>
          <w:bCs/>
          <w:b/>
          <w:iCs/>
          <w:i/>
        </w:rPr>
        <w:t xml:space="preserve">cobertura</w:t>
      </w:r>
      <w:r>
        <w:rPr>
          <w:iCs/>
          <w:i/>
        </w:rPr>
        <w:t xml:space="preserve"> </w:t>
      </w:r>
      <w:r>
        <w:rPr>
          <w:bCs/>
          <w:b/>
          <w:iCs/>
          <w:i/>
        </w:rPr>
        <w:t xml:space="preserve">refere</w:t>
      </w:r>
      <w:r>
        <w:rPr>
          <w:iCs/>
          <w:i/>
        </w:rPr>
        <w:t xml:space="preserve">-se à</w:t>
      </w:r>
      <w:r>
        <w:rPr>
          <w:iCs/>
          <w:i/>
        </w:rPr>
        <w:t xml:space="preserve"> </w:t>
      </w:r>
      <w:r>
        <w:rPr>
          <w:bCs/>
          <w:b/>
          <w:iCs/>
          <w:i/>
        </w:rPr>
        <w:t xml:space="preserve">percentagem</w:t>
      </w:r>
      <w:r>
        <w:rPr>
          <w:iCs/>
          <w:i/>
        </w:rPr>
        <w:t xml:space="preserve"> </w:t>
      </w:r>
      <w:r>
        <w:rPr>
          <w:iCs/>
          <w:i/>
        </w:rPr>
        <w:t xml:space="preserve">de</w:t>
      </w:r>
      <w:r>
        <w:rPr>
          <w:iCs/>
          <w:i/>
        </w:rPr>
        <w:t xml:space="preserve"> </w:t>
      </w:r>
      <w:r>
        <w:rPr>
          <w:bCs/>
          <w:b/>
          <w:iCs/>
          <w:i/>
        </w:rPr>
        <w:t xml:space="preserve">anos</w:t>
      </w:r>
      <w:r>
        <w:rPr>
          <w:iCs/>
          <w:i/>
        </w:rPr>
        <w:t xml:space="preserve"> </w:t>
      </w:r>
      <w:r>
        <w:rPr>
          <w:iCs/>
          <w:i/>
        </w:rPr>
        <w:t xml:space="preserve">com</w:t>
      </w:r>
      <w:r>
        <w:rPr>
          <w:iCs/>
          <w:i/>
        </w:rPr>
        <w:t xml:space="preserve"> </w:t>
      </w:r>
      <w:r>
        <w:rPr>
          <w:bCs/>
          <w:b/>
          <w:iCs/>
          <w:i/>
        </w:rPr>
        <w:t xml:space="preserve">observação</w:t>
      </w:r>
      <w:r>
        <w:rPr>
          <w:iCs/>
          <w:i/>
        </w:rPr>
        <w:t xml:space="preserve"> </w:t>
      </w:r>
      <w:r>
        <w:rPr>
          <w:iCs/>
          <w:i/>
        </w:rPr>
        <w:t xml:space="preserve">no</w:t>
      </w:r>
      <w:r>
        <w:rPr>
          <w:iCs/>
          <w:i/>
        </w:rPr>
        <w:t xml:space="preserve"> </w:t>
      </w:r>
      <w:r>
        <w:rPr>
          <w:bCs/>
          <w:b/>
          <w:iCs/>
          <w:i/>
        </w:rPr>
        <w:t xml:space="preserve">período</w:t>
      </w:r>
      <w:r>
        <w:rPr>
          <w:iCs/>
          <w:i/>
        </w:rPr>
        <w:t xml:space="preserve"> </w:t>
      </w:r>
      <w:r>
        <w:rPr>
          <w:iCs/>
          <w:i/>
        </w:rPr>
        <w:t xml:space="preserve">2015–2025, antes de</w:t>
      </w:r>
      <w:r>
        <w:rPr>
          <w:iCs/>
          <w:i/>
        </w:rPr>
        <w:t xml:space="preserve"> </w:t>
      </w:r>
      <w:r>
        <w:rPr>
          <w:bCs/>
          <w:b/>
          <w:iCs/>
          <w:i/>
        </w:rPr>
        <w:t xml:space="preserve">imputação</w:t>
      </w:r>
      <w:r>
        <w:rPr>
          <w:iCs/>
          <w:i/>
        </w:rPr>
        <w:t xml:space="preserve">.</w:t>
      </w:r>
    </w:p>
    <w:bookmarkEnd w:id="76"/>
    <w:bookmarkStart w:id="77" w:name="anexo-b-fontes-e-siglas"/>
    <w:p>
      <w:pPr>
        <w:pStyle w:val="Heading1"/>
      </w:pPr>
      <w:r>
        <w:t xml:space="preserve">Anexo B — Fontes e siglas</w:t>
      </w:r>
    </w:p>
    <w:p>
      <w:pPr>
        <w:pStyle w:val="FirstParagraph"/>
      </w:pPr>
      <w:r>
        <w:t xml:space="preserve">B.1 Fontes de dados</w:t>
      </w:r>
    </w:p>
    <w:p>
      <w:pPr>
        <w:pStyle w:val="BodyText"/>
      </w:pPr>
      <w:r>
        <w:rPr>
          <w:bCs/>
          <w:b/>
        </w:rPr>
        <w:t xml:space="preserve">Fontes nacionais:</w:t>
      </w:r>
      <w:r>
        <w:rPr>
          <w:bCs/>
          <w:b/>
        </w:rPr>
        <w:t xml:space="preserve"> </w:t>
      </w:r>
      <w:r>
        <w:t xml:space="preserve">Instituto Nacional de Estatística (INE); Banco Nacional de Angola (BNA); Ministério das Finanças (MINFIN); Ministério da Economia e Planeamento (MEP); Ministério da Saúde (MINSA); Ministério da Energia e Águas (MINEA); Ministério dos Transportes (MINTRANS).</w:t>
      </w:r>
    </w:p>
    <w:p>
      <w:pPr>
        <w:pStyle w:val="BodyText"/>
      </w:pPr>
      <w:r>
        <w:t xml:space="preserve">Fontes internacionais: Banco Mundial — World Development Indicators (WDI) e Worldwide Governance Indicators (WGI); Organização Mundial da Saúde (OMS); UNESCO; Organização Internacional do Trabalho (OIT/ILOSTAT); Conferência das Nações Unidas sobre Comércio e Desenvolvimento (UNCTAD); Transparency International; União Interparlamentar (IPU); Fórum Económico Mundial (WEF); UNICEF; e FAO. O catálogo alargado de candidatos recorre ainda ao PNUD, ao FMI (World Economic Outlook) e a outros benchmarks internacionais.</w:t>
      </w:r>
    </w:p>
    <w:p>
      <w:pPr>
        <w:pStyle w:val="BodyText"/>
      </w:pPr>
      <w:r>
        <w:rPr>
          <w:bCs/>
          <w:b/>
        </w:rPr>
        <w:t xml:space="preserve">Referência metodológica:</w:t>
      </w:r>
      <w:r>
        <w:rPr>
          <w:bCs/>
          <w:b/>
        </w:rPr>
        <w:t xml:space="preserve"> </w:t>
      </w:r>
      <w:r>
        <w:t xml:space="preserve">OCDE e Joint Research Centre da Comissão Europeia (2008), Handbook on Constructing Composite Indicators: Methodology and User Guide.</w:t>
      </w:r>
    </w:p>
    <w:p>
      <w:pPr>
        <w:pStyle w:val="BodyText"/>
      </w:pPr>
      <w:r>
        <w:t xml:space="preserve">B.2 Lista de siglas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Sigla</w:t>
            </w:r>
          </w:p>
        </w:tc>
        <w:tc>
          <w:tcPr/>
          <w:p>
            <w:pPr>
              <w:pStyle w:val="Compact"/>
              <w:jc w:val="left"/>
            </w:pPr>
            <w:r>
              <w:rPr>
                <w:bCs/>
                <w:b/>
              </w:rPr>
              <w:t xml:space="preserve">Designação</w:t>
            </w:r>
          </w:p>
        </w:tc>
      </w:tr>
      <w:tr>
        <w:tc>
          <w:tcPr/>
          <w:p>
            <w:pPr>
              <w:pStyle w:val="Compact"/>
              <w:jc w:val="left"/>
            </w:pPr>
            <w:r>
              <w:rPr>
                <w:bCs/>
                <w:b/>
              </w:rPr>
              <w:t xml:space="preserve">BDA</w:t>
            </w:r>
          </w:p>
        </w:tc>
        <w:tc>
          <w:tcPr/>
          <w:p>
            <w:pPr>
              <w:pStyle w:val="Compact"/>
              <w:jc w:val="left"/>
            </w:pPr>
            <w:r>
              <w:t xml:space="preserve">Banco de Desenvolvimento de Angola</w:t>
            </w:r>
          </w:p>
        </w:tc>
      </w:tr>
      <w:tr>
        <w:tc>
          <w:tcPr/>
          <w:p>
            <w:pPr>
              <w:pStyle w:val="Compact"/>
              <w:jc w:val="left"/>
            </w:pPr>
            <w:r>
              <w:rPr>
                <w:bCs/>
                <w:b/>
              </w:rPr>
              <w:t xml:space="preserve">BNA</w:t>
            </w:r>
          </w:p>
        </w:tc>
        <w:tc>
          <w:tcPr/>
          <w:p>
            <w:pPr>
              <w:pStyle w:val="Compact"/>
              <w:jc w:val="left"/>
            </w:pPr>
            <w:r>
              <w:t xml:space="preserve">Banco Nacional de Angola</w:t>
            </w:r>
          </w:p>
        </w:tc>
      </w:tr>
      <w:tr>
        <w:tc>
          <w:tcPr/>
          <w:p>
            <w:pPr>
              <w:pStyle w:val="Compact"/>
              <w:jc w:val="left"/>
            </w:pPr>
            <w:r>
              <w:rPr>
                <w:bCs/>
                <w:b/>
              </w:rPr>
              <w:t xml:space="preserve">CPI</w:t>
            </w:r>
          </w:p>
        </w:tc>
        <w:tc>
          <w:tcPr/>
          <w:p>
            <w:pPr>
              <w:pStyle w:val="Compact"/>
              <w:jc w:val="left"/>
            </w:pPr>
            <w:r>
              <w:t xml:space="preserve">Corruption Perceptions Index (Índice de Percepção da Corrupção)</w:t>
            </w:r>
          </w:p>
        </w:tc>
      </w:tr>
      <w:tr>
        <w:tc>
          <w:tcPr/>
          <w:p>
            <w:pPr>
              <w:pStyle w:val="Compact"/>
              <w:jc w:val="left"/>
            </w:pPr>
            <w:r>
              <w:rPr>
                <w:bCs/>
                <w:b/>
              </w:rPr>
              <w:t xml:space="preserve">FAO</w:t>
            </w:r>
          </w:p>
        </w:tc>
        <w:tc>
          <w:tcPr/>
          <w:p>
            <w:pPr>
              <w:pStyle w:val="Compact"/>
              <w:jc w:val="left"/>
            </w:pPr>
            <w:r>
              <w:t xml:space="preserve">Organização das Nações Unidas para a Alimentação e a Agricultura</w:t>
            </w:r>
          </w:p>
        </w:tc>
      </w:tr>
      <w:tr>
        <w:tc>
          <w:tcPr/>
          <w:p>
            <w:pPr>
              <w:pStyle w:val="Compact"/>
              <w:jc w:val="left"/>
            </w:pPr>
            <w:r>
              <w:rPr>
                <w:bCs/>
                <w:b/>
              </w:rPr>
              <w:t xml:space="preserve">IDH</w:t>
            </w:r>
          </w:p>
        </w:tc>
        <w:tc>
          <w:tcPr/>
          <w:p>
            <w:pPr>
              <w:pStyle w:val="Compact"/>
              <w:jc w:val="left"/>
            </w:pPr>
            <w:r>
              <w:t xml:space="preserve">Índice de Desenvolvimento Humano</w:t>
            </w:r>
          </w:p>
        </w:tc>
      </w:tr>
      <w:tr>
        <w:tc>
          <w:tcPr/>
          <w:p>
            <w:pPr>
              <w:pStyle w:val="Compact"/>
              <w:jc w:val="left"/>
            </w:pPr>
            <w:r>
              <w:rPr>
                <w:bCs/>
                <w:b/>
              </w:rPr>
              <w:t xml:space="preserve">IGDA</w:t>
            </w:r>
          </w:p>
        </w:tc>
        <w:tc>
          <w:tcPr/>
          <w:p>
            <w:pPr>
              <w:pStyle w:val="Compact"/>
              <w:jc w:val="left"/>
            </w:pPr>
            <w:r>
              <w:t xml:space="preserve">Índice Global de Desenvolvimento de Angola</w:t>
            </w:r>
          </w:p>
        </w:tc>
      </w:tr>
      <w:tr>
        <w:tc>
          <w:tcPr/>
          <w:p>
            <w:pPr>
              <w:pStyle w:val="Compact"/>
              <w:jc w:val="left"/>
            </w:pPr>
            <w:r>
              <w:rPr>
                <w:bCs/>
                <w:b/>
              </w:rPr>
              <w:t xml:space="preserve">INE</w:t>
            </w:r>
          </w:p>
        </w:tc>
        <w:tc>
          <w:tcPr/>
          <w:p>
            <w:pPr>
              <w:pStyle w:val="Compact"/>
              <w:jc w:val="left"/>
            </w:pPr>
            <w:r>
              <w:t xml:space="preserve">Instituto Nacional de Estatística</w:t>
            </w:r>
          </w:p>
        </w:tc>
      </w:tr>
      <w:tr>
        <w:tc>
          <w:tcPr/>
          <w:p>
            <w:pPr>
              <w:pStyle w:val="Compact"/>
              <w:jc w:val="left"/>
            </w:pPr>
            <w:r>
              <w:rPr>
                <w:bCs/>
                <w:b/>
              </w:rPr>
              <w:t xml:space="preserve">IPC</w:t>
            </w:r>
          </w:p>
        </w:tc>
        <w:tc>
          <w:tcPr/>
          <w:p>
            <w:pPr>
              <w:pStyle w:val="Compact"/>
              <w:jc w:val="left"/>
            </w:pPr>
            <w:r>
              <w:t xml:space="preserve">Índice de Preços no Consumidor</w:t>
            </w:r>
          </w:p>
        </w:tc>
      </w:tr>
      <w:tr>
        <w:tc>
          <w:tcPr/>
          <w:p>
            <w:pPr>
              <w:pStyle w:val="Compact"/>
              <w:jc w:val="left"/>
            </w:pPr>
            <w:r>
              <w:rPr>
                <w:bCs/>
                <w:b/>
              </w:rPr>
              <w:t xml:space="preserve">IPU</w:t>
            </w:r>
          </w:p>
        </w:tc>
        <w:tc>
          <w:tcPr/>
          <w:p>
            <w:pPr>
              <w:pStyle w:val="Compact"/>
              <w:jc w:val="left"/>
            </w:pPr>
            <w:r>
              <w:t xml:space="preserve">Inter-Parliamentary Union</w:t>
            </w:r>
          </w:p>
        </w:tc>
      </w:tr>
      <w:tr>
        <w:tc>
          <w:tcPr/>
          <w:p>
            <w:pPr>
              <w:pStyle w:val="Compact"/>
              <w:jc w:val="left"/>
            </w:pPr>
            <w:r>
              <w:t xml:space="preserve">TEU</w:t>
            </w:r>
          </w:p>
        </w:tc>
        <w:tc>
          <w:tcPr/>
          <w:p>
            <w:pPr>
              <w:pStyle w:val="Compact"/>
              <w:jc w:val="left"/>
            </w:pPr>
            <w:r>
              <w:t xml:space="preserve">Twenty-foot Equivalent Unit (unidade de tráfego de contentores)</w:t>
            </w:r>
          </w:p>
        </w:tc>
      </w:tr>
      <w:tr>
        <w:tc>
          <w:tcPr/>
          <w:p>
            <w:pPr>
              <w:pStyle w:val="Compact"/>
              <w:jc w:val="left"/>
            </w:pPr>
            <w:r>
              <w:rPr>
                <w:bCs/>
                <w:b/>
              </w:rPr>
              <w:t xml:space="preserve">JRC</w:t>
            </w:r>
          </w:p>
        </w:tc>
        <w:tc>
          <w:tcPr/>
          <w:p>
            <w:pPr>
              <w:pStyle w:val="Compact"/>
              <w:jc w:val="left"/>
            </w:pPr>
            <w:r>
              <w:t xml:space="preserve">Joint Research Centre (Comissão Europeia)</w:t>
            </w:r>
          </w:p>
        </w:tc>
      </w:tr>
      <w:tr>
        <w:tc>
          <w:tcPr/>
          <w:p>
            <w:pPr>
              <w:pStyle w:val="Compact"/>
              <w:jc w:val="left"/>
            </w:pPr>
            <w:r>
              <w:rPr>
                <w:bCs/>
                <w:b/>
              </w:rPr>
              <w:t xml:space="preserve">MEP</w:t>
            </w:r>
          </w:p>
        </w:tc>
        <w:tc>
          <w:tcPr/>
          <w:p>
            <w:pPr>
              <w:pStyle w:val="Compact"/>
              <w:jc w:val="left"/>
            </w:pPr>
            <w:r>
              <w:t xml:space="preserve">Ministério da Economia e Planeamento</w:t>
            </w:r>
          </w:p>
        </w:tc>
      </w:tr>
      <w:tr>
        <w:tc>
          <w:tcPr/>
          <w:p>
            <w:pPr>
              <w:pStyle w:val="Compact"/>
              <w:jc w:val="left"/>
            </w:pPr>
            <w:r>
              <w:rPr>
                <w:bCs/>
                <w:b/>
              </w:rPr>
              <w:t xml:space="preserve">MINEA</w:t>
            </w:r>
          </w:p>
        </w:tc>
        <w:tc>
          <w:tcPr/>
          <w:p>
            <w:pPr>
              <w:pStyle w:val="Compact"/>
              <w:jc w:val="left"/>
            </w:pPr>
            <w:r>
              <w:t xml:space="preserve">Ministério da Energia e Águas</w:t>
            </w:r>
          </w:p>
        </w:tc>
      </w:tr>
      <w:tr>
        <w:tc>
          <w:tcPr/>
          <w:p>
            <w:pPr>
              <w:pStyle w:val="Compact"/>
              <w:jc w:val="left"/>
            </w:pPr>
            <w:r>
              <w:rPr>
                <w:bCs/>
                <w:b/>
              </w:rPr>
              <w:t xml:space="preserve">MINFIN</w:t>
            </w:r>
          </w:p>
        </w:tc>
        <w:tc>
          <w:tcPr/>
          <w:p>
            <w:pPr>
              <w:pStyle w:val="Compact"/>
              <w:jc w:val="left"/>
            </w:pPr>
            <w:r>
              <w:t xml:space="preserve">Ministério das Finanças</w:t>
            </w:r>
          </w:p>
        </w:tc>
      </w:tr>
      <w:tr>
        <w:tc>
          <w:tcPr/>
          <w:p>
            <w:pPr>
              <w:pStyle w:val="Compact"/>
              <w:jc w:val="left"/>
            </w:pPr>
            <w:r>
              <w:rPr>
                <w:bCs/>
                <w:b/>
              </w:rPr>
              <w:t xml:space="preserve">MINSA</w:t>
            </w:r>
          </w:p>
        </w:tc>
        <w:tc>
          <w:tcPr/>
          <w:p>
            <w:pPr>
              <w:pStyle w:val="Compact"/>
              <w:jc w:val="left"/>
            </w:pPr>
            <w:r>
              <w:t xml:space="preserve">Ministério da Saúde</w:t>
            </w:r>
          </w:p>
        </w:tc>
      </w:tr>
      <w:tr>
        <w:tc>
          <w:tcPr/>
          <w:p>
            <w:pPr>
              <w:pStyle w:val="Compact"/>
              <w:jc w:val="left"/>
            </w:pPr>
            <w:r>
              <w:rPr>
                <w:bCs/>
                <w:b/>
              </w:rPr>
              <w:t xml:space="preserve">MINTRANS</w:t>
            </w:r>
          </w:p>
        </w:tc>
        <w:tc>
          <w:tcPr/>
          <w:p>
            <w:pPr>
              <w:pStyle w:val="Compact"/>
              <w:jc w:val="left"/>
            </w:pPr>
            <w:r>
              <w:t xml:space="preserve">Ministério dos Transportes</w:t>
            </w:r>
          </w:p>
        </w:tc>
      </w:tr>
      <w:tr>
        <w:tc>
          <w:tcPr/>
          <w:p>
            <w:pPr>
              <w:pStyle w:val="Compact"/>
              <w:jc w:val="left"/>
            </w:pPr>
            <w:r>
              <w:t xml:space="preserve">WEF</w:t>
            </w:r>
          </w:p>
        </w:tc>
        <w:tc>
          <w:tcPr/>
          <w:p>
            <w:pPr>
              <w:pStyle w:val="Compact"/>
              <w:jc w:val="left"/>
            </w:pPr>
            <w:r>
              <w:t xml:space="preserve">Fórum Económico Mundial</w:t>
            </w:r>
          </w:p>
        </w:tc>
      </w:tr>
      <w:tr>
        <w:tc>
          <w:tcPr/>
          <w:p>
            <w:pPr>
              <w:pStyle w:val="Compact"/>
              <w:jc w:val="left"/>
            </w:pPr>
            <w:r>
              <w:rPr>
                <w:bCs/>
                <w:b/>
              </w:rPr>
              <w:t xml:space="preserve">OCDE</w:t>
            </w:r>
          </w:p>
        </w:tc>
        <w:tc>
          <w:tcPr/>
          <w:p>
            <w:pPr>
              <w:pStyle w:val="Compact"/>
              <w:jc w:val="left"/>
            </w:pPr>
            <w:r>
              <w:t xml:space="preserve">Organização para a Cooperação e Desenvolvimento Económico</w:t>
            </w:r>
          </w:p>
        </w:tc>
      </w:tr>
      <w:tr>
        <w:tc>
          <w:tcPr/>
          <w:p>
            <w:pPr>
              <w:pStyle w:val="Compact"/>
              <w:jc w:val="left"/>
            </w:pPr>
            <w:r>
              <w:rPr>
                <w:bCs/>
                <w:b/>
              </w:rPr>
              <w:t xml:space="preserve">OIT</w:t>
            </w:r>
          </w:p>
        </w:tc>
        <w:tc>
          <w:tcPr/>
          <w:p>
            <w:pPr>
              <w:pStyle w:val="Compact"/>
              <w:jc w:val="left"/>
            </w:pPr>
            <w:r>
              <w:t xml:space="preserve">Organização Internacional do Trabalho</w:t>
            </w:r>
          </w:p>
        </w:tc>
      </w:tr>
      <w:tr>
        <w:tc>
          <w:tcPr/>
          <w:p>
            <w:pPr>
              <w:pStyle w:val="Compact"/>
              <w:jc w:val="left"/>
            </w:pPr>
            <w:r>
              <w:rPr>
                <w:bCs/>
                <w:b/>
              </w:rPr>
              <w:t xml:space="preserve">OMS</w:t>
            </w:r>
          </w:p>
        </w:tc>
        <w:tc>
          <w:tcPr/>
          <w:p>
            <w:pPr>
              <w:pStyle w:val="Compact"/>
              <w:jc w:val="left"/>
            </w:pPr>
            <w:r>
              <w:t xml:space="preserve">Organização Mundial da Saúde</w:t>
            </w:r>
          </w:p>
        </w:tc>
      </w:tr>
      <w:tr>
        <w:tc>
          <w:tcPr/>
          <w:p>
            <w:pPr>
              <w:pStyle w:val="Compact"/>
              <w:jc w:val="left"/>
            </w:pPr>
            <w:r>
              <w:rPr>
                <w:bCs/>
                <w:b/>
              </w:rPr>
              <w:t xml:space="preserve">PIB</w:t>
            </w:r>
          </w:p>
        </w:tc>
        <w:tc>
          <w:tcPr/>
          <w:p>
            <w:pPr>
              <w:pStyle w:val="Compact"/>
              <w:jc w:val="left"/>
            </w:pPr>
            <w:r>
              <w:t xml:space="preserve">Produto Interno Bruto</w:t>
            </w:r>
          </w:p>
        </w:tc>
      </w:tr>
      <w:tr>
        <w:tc>
          <w:tcPr/>
          <w:p>
            <w:pPr>
              <w:pStyle w:val="Compact"/>
              <w:jc w:val="left"/>
            </w:pPr>
            <w:r>
              <w:rPr>
                <w:bCs/>
                <w:b/>
              </w:rPr>
              <w:t xml:space="preserve">PNUD</w:t>
            </w:r>
          </w:p>
        </w:tc>
        <w:tc>
          <w:tcPr/>
          <w:p>
            <w:pPr>
              <w:pStyle w:val="Compact"/>
              <w:jc w:val="left"/>
            </w:pPr>
            <w:r>
              <w:t xml:space="preserve">Programa das Nações Unidas para o Desenvolvimento</w:t>
            </w:r>
          </w:p>
        </w:tc>
      </w:tr>
      <w:tr>
        <w:tc>
          <w:tcPr/>
          <w:p>
            <w:pPr>
              <w:pStyle w:val="Compact"/>
              <w:jc w:val="left"/>
            </w:pPr>
            <w:r>
              <w:rPr>
                <w:bCs/>
                <w:b/>
              </w:rPr>
              <w:t xml:space="preserve">RNB</w:t>
            </w:r>
          </w:p>
        </w:tc>
        <w:tc>
          <w:tcPr/>
          <w:p>
            <w:pPr>
              <w:pStyle w:val="Compact"/>
              <w:jc w:val="left"/>
            </w:pPr>
            <w:r>
              <w:t xml:space="preserve">Rendimento Nacional Bruto</w:t>
            </w:r>
          </w:p>
        </w:tc>
      </w:tr>
      <w:tr>
        <w:tc>
          <w:tcPr/>
          <w:p>
            <w:pPr>
              <w:pStyle w:val="Compact"/>
              <w:jc w:val="left"/>
            </w:pPr>
            <w:r>
              <w:rPr>
                <w:bCs/>
                <w:b/>
              </w:rPr>
              <w:t xml:space="preserve">TIC</w:t>
            </w:r>
          </w:p>
        </w:tc>
        <w:tc>
          <w:tcPr/>
          <w:p>
            <w:pPr>
              <w:pStyle w:val="Compact"/>
              <w:jc w:val="left"/>
            </w:pPr>
            <w:r>
              <w:t xml:space="preserve">Tecnologias de Informação e Comunicação</w:t>
            </w:r>
          </w:p>
        </w:tc>
      </w:tr>
      <w:tr>
        <w:tc>
          <w:tcPr/>
          <w:p>
            <w:pPr>
              <w:pStyle w:val="Compact"/>
              <w:jc w:val="left"/>
            </w:pPr>
            <w:r>
              <w:rPr>
                <w:bCs/>
                <w:b/>
              </w:rPr>
              <w:t xml:space="preserve">UNCTAD</w:t>
            </w:r>
          </w:p>
        </w:tc>
        <w:tc>
          <w:tcPr/>
          <w:p>
            <w:pPr>
              <w:pStyle w:val="Compact"/>
              <w:jc w:val="left"/>
            </w:pPr>
            <w:r>
              <w:t xml:space="preserve">Conferência das Nações Unidas sobre Comércio e Desenvolvimento</w:t>
            </w:r>
          </w:p>
        </w:tc>
      </w:tr>
      <w:tr>
        <w:tc>
          <w:tcPr/>
          <w:p>
            <w:pPr>
              <w:pStyle w:val="Compact"/>
              <w:jc w:val="left"/>
            </w:pPr>
            <w:r>
              <w:rPr>
                <w:bCs/>
                <w:b/>
              </w:rPr>
              <w:t xml:space="preserve">UNESCO</w:t>
            </w:r>
          </w:p>
        </w:tc>
        <w:tc>
          <w:tcPr/>
          <w:p>
            <w:pPr>
              <w:pStyle w:val="Compact"/>
              <w:jc w:val="left"/>
            </w:pPr>
            <w:r>
              <w:t xml:space="preserve">Organização das Nações Unidas para a Educação, a Ciência e a Cultura</w:t>
            </w:r>
          </w:p>
        </w:tc>
      </w:tr>
      <w:tr>
        <w:tc>
          <w:tcPr/>
          <w:p>
            <w:pPr>
              <w:pStyle w:val="Compact"/>
              <w:jc w:val="left"/>
            </w:pPr>
            <w:r>
              <w:rPr>
                <w:bCs/>
                <w:b/>
              </w:rPr>
              <w:t xml:space="preserve">UNICEF</w:t>
            </w:r>
          </w:p>
        </w:tc>
        <w:tc>
          <w:tcPr/>
          <w:p>
            <w:pPr>
              <w:pStyle w:val="Compact"/>
              <w:jc w:val="left"/>
            </w:pPr>
            <w:r>
              <w:t xml:space="preserve">Fundo das Nações Unidas para a Infância</w:t>
            </w:r>
          </w:p>
        </w:tc>
      </w:tr>
      <w:tr>
        <w:tc>
          <w:tcPr/>
          <w:p>
            <w:pPr>
              <w:pStyle w:val="Compact"/>
              <w:jc w:val="left"/>
            </w:pPr>
            <w:r>
              <w:rPr>
                <w:bCs/>
                <w:b/>
              </w:rPr>
              <w:t xml:space="preserve">WDI</w:t>
            </w:r>
          </w:p>
        </w:tc>
        <w:tc>
          <w:tcPr/>
          <w:p>
            <w:pPr>
              <w:pStyle w:val="Compact"/>
              <w:jc w:val="left"/>
            </w:pPr>
            <w:r>
              <w:t xml:space="preserve">World Development Indicators (Banco Mundial)</w:t>
            </w:r>
          </w:p>
        </w:tc>
      </w:tr>
      <w:tr>
        <w:tc>
          <w:tcPr/>
          <w:p>
            <w:pPr>
              <w:pStyle w:val="Compact"/>
              <w:jc w:val="left"/>
            </w:pPr>
            <w:r>
              <w:rPr>
                <w:bCs/>
                <w:b/>
              </w:rPr>
              <w:t xml:space="preserve">WGI</w:t>
            </w:r>
          </w:p>
        </w:tc>
        <w:tc>
          <w:tcPr/>
          <w:p>
            <w:pPr>
              <w:pStyle w:val="Compact"/>
              <w:jc w:val="left"/>
            </w:pPr>
            <w:r>
              <w:t xml:space="preserve">Worldwide Governance Indicators (Banco Mundial)</w:t>
            </w:r>
          </w:p>
        </w:tc>
      </w:tr>
    </w:tbl>
    <w:p>
      <w:pPr>
        <w:pStyle w:val="SourceCode"/>
      </w:pPr>
      <w:r>
        <w:rPr>
          <w:rStyle w:val="VerbatimChar"/>
        </w:rPr>
        <w:t xml:space="preserve">Banco de Desenvolvimento de Angola  Página 1 de 1</w:t>
      </w:r>
    </w:p>
    <w:bookmarkEnd w:id="7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cs="Calibri" w:hAnsi="Calibri"/>
        <w:sz w:val="24"/>
        <w:szCs w:val="24"/>
        <w:lang w:bidi="ar-SA" w:eastAsia="en-US" w:val="pt-PT"/>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Cambria" w:cs="Cambria" w:hAnsi="Cambria"/>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Cambria" w:cs="Cambria" w:hAnsi="Cambria"/>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Cambria" w:cs="Cambria" w:hAnsi="Cambria"/>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Cambria" w:cs="Cambria" w:hAnsi="Cambria"/>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Cambria" w:cs="Cambria" w:hAnsi="Cambria"/>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Cambria" w:cs="Cambria" w:hAnsi="Cambria"/>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Cambria" w:cs="Cambria" w:hAnsi="Cambria"/>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Cambria" w:cs="Cambria" w:hAnsi="Cambria"/>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Cambria" w:cs="Cambria" w:hAnsi="Cambria"/>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Cambria" w:cs="Cambria" w:hAnsi="Cambria"/>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Cambria" w:cs="Cambria" w:hAnsi="Cambria"/>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Índice Global de Desenvolvimento de Angola — IGDA-BDA</dc:title>
  <dc:creator>Banco de Desenvolvimento de Angola · Gabinete de Planeamento e Controlo</dc:creator>
  <dc:language>pt-PT</dc:language>
  <cp:keywords/>
  <dcterms:created xsi:type="dcterms:W3CDTF">2026-08-24T18:03:42Z</dcterms:created>
  <dcterms:modified xsi:type="dcterms:W3CDTF">2026-08-24T18:03:42Z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Agosto de 2026</vt:lpwstr>
  </property>
  <property fmtid="{D5CDD505-2E9C-101B-9397-08002B2CF9AE}" pid="3" name="subtitle">
    <vt:lpwstr>Nota Metodológica (v7) · Selecção Final · 2015–2025 · 8 dimensões activas (de 11) · 41 indicadores</vt:lpwstr>
  </property>
  <property fmtid="{D5CDD505-2E9C-101B-9397-08002B2CF9AE}" pid="4" name="toc-title">
    <vt:lpwstr>Índice</vt:lpwstr>
  </property>
</Properties>
</file>