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平台信息展示界面方案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主界面是地图，上面的一条线表示平台调研的行程，左上角为平台调研时间的选择，选择一个月份即出现该月调研的平台。平台间的对比分为三部分：</w:t>
      </w:r>
      <w:r>
        <w:rPr>
          <w:rFonts w:hint="eastAsia"/>
          <w:lang w:val="en-US" w:eastAsia="zh-CN"/>
        </w:rPr>
        <w:t>1、同地区平台之间的对比（以省为一个地区）；2、同资产类别平台之间的对比；3、同等级之间的对比（星火评级），另应有勾选选项，例如在AAA等级里面勾选车贷平台。同地区之间的对比是点击省的板块进入详情界面，同资产类别及同等级的对比是通过旁边的选择（橙色部分，应有两个），选择一个等级或者资产类别的平台，地图上即显示该类平台，在地图外设置一个详情页面的链接，点击链接即可进入详情页面。详情页面数据暂定为平台近6个月的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5625" cy="2879725"/>
            <wp:effectExtent l="0" t="0" r="15875" b="15875"/>
            <wp:docPr id="1" name="图片 1" descr="C:\Users\Administrator\Desktop\1 大地图.png1 大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 大地图.png1 大地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366895" cy="2922905"/>
            <wp:effectExtent l="0" t="0" r="14605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左上角为调研时间，选择一个时间，地图上该时间段内调研平台线路即标亮</w:t>
      </w:r>
    </w:p>
    <w:p>
      <w:pPr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需输入平台经纬度，如：果树财富：113.9337866556，22.5388828649</w:t>
      </w:r>
    </w:p>
    <w:p>
      <w:pPr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左下角为平台评级选择，由</w:t>
      </w:r>
      <w:r>
        <w:rPr>
          <w:rFonts w:hint="eastAsia"/>
          <w:highlight w:val="none"/>
          <w:lang w:val="en-US" w:eastAsia="zh-CN"/>
        </w:rPr>
        <w:t>D-AAAAA级不等，选择一条路线即出现平台名称、评级，果树财富：调研时间：2016年10月；评级：AAA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Part1：单个平台信息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以果树财富为例，鼠标点击线路进入该线路代表平台的详情页面：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1、平台基本资料：</w:t>
      </w:r>
    </w:p>
    <w:tbl>
      <w:tblPr>
        <w:tblStyle w:val="3"/>
        <w:tblW w:w="83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70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05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平台名称</w:t>
            </w:r>
          </w:p>
        </w:tc>
        <w:tc>
          <w:tcPr>
            <w:tcW w:w="7007" w:type="dxa"/>
            <w:tcBorders>
              <w:top w:val="dotted" w:color="auto" w:sz="12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  <w:t>果树财富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地址</w:t>
            </w:r>
          </w:p>
        </w:tc>
        <w:tc>
          <w:tcPr>
            <w:tcW w:w="7007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  <w:t>广东省深圳市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背景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  <w:t>风投系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团队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  <w:t>经验型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上线时间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2014年7月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星火评级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AAA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eastAsia="zh-CN"/>
              </w:rPr>
              <w:t>车贷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5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舆情</w:t>
            </w:r>
          </w:p>
        </w:tc>
        <w:tc>
          <w:tcPr>
            <w:tcW w:w="7007" w:type="dxa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/>
              </w:rPr>
              <w:t>6月1号开始普遍降息1.5个点，导致满标速度变慢，现开始加息活动，加息1-2个点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2、平台标的及业务占比：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588260"/>
            <wp:effectExtent l="0" t="0" r="4445" b="2540"/>
            <wp:docPr id="7" name="图片 7" descr="C:\Users\Administrator\Desktop\果树财富业务分布及占比.png果树财富业务分布及占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果树财富业务分布及占比.png果树财富业务分布及占比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43505"/>
            <wp:effectExtent l="0" t="0" r="3810" b="444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①业务占比图显示平台标的名称，各个板块里面显示利率、借款期限、业务量、业务量占比。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②输入板块名称，例如“优车贷</w:t>
      </w:r>
      <w:r>
        <w:rPr>
          <w:rFonts w:hint="eastAsia"/>
          <w:lang w:val="en-US" w:eastAsia="zh-CN"/>
        </w:rPr>
        <w:t>1月</w:t>
      </w:r>
      <w:r>
        <w:rPr>
          <w:rFonts w:hint="eastAsia"/>
          <w:lang w:eastAsia="zh-CN"/>
        </w:rPr>
        <w:t>”，表示标的名称为优车贷，标的期限为</w:t>
      </w:r>
      <w:r>
        <w:rPr>
          <w:rFonts w:hint="eastAsia"/>
          <w:lang w:val="en-US" w:eastAsia="zh-CN"/>
        </w:rPr>
        <w:t>1个月。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③输入数值为业务量，如“优车贷3月：4841（23.77%）”中4841则为标的名优车贷期限3个月的标的的业务量。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果树财富：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775"/>
        <w:gridCol w:w="788"/>
        <w:gridCol w:w="750"/>
        <w:gridCol w:w="787"/>
        <w:gridCol w:w="800"/>
        <w:gridCol w:w="775"/>
        <w:gridCol w:w="713"/>
        <w:gridCol w:w="750"/>
        <w:gridCol w:w="1024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标的名称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新手标</w:t>
            </w:r>
          </w:p>
        </w:tc>
        <w:tc>
          <w:tcPr>
            <w:tcW w:w="536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优车贷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优选计划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期限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1个月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１个月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２个月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３个月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6个月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12个月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18个月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24个月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14天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利率（％）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17.20 </w:t>
            </w:r>
          </w:p>
        </w:tc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11.00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12.00 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12.50 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13.00 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14.50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15.50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16.50 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10.50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业务量（万元）</w:t>
            </w:r>
          </w:p>
        </w:tc>
        <w:tc>
          <w:tcPr>
            <w:tcW w:w="15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7133.00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631.00 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4841.00 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1203.00 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3788.00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1597.00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286.00 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883.00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>业务占比（％）</w:t>
            </w:r>
          </w:p>
        </w:tc>
        <w:tc>
          <w:tcPr>
            <w:tcW w:w="15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35.03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3.10 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23.77 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5.91 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18.60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7.84 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1.40 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highlight w:val="none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highlight w:val="none"/>
                <w:u w:val="none"/>
                <w:lang w:val="en-US" w:eastAsia="zh-CN" w:bidi="ar"/>
              </w:rPr>
              <w:t xml:space="preserve">4.34 </w:t>
            </w:r>
          </w:p>
        </w:tc>
      </w:tr>
    </w:tbl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3、月成交量和累计成交额：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8260"/>
            <wp:effectExtent l="0" t="0" r="4445" b="2540"/>
            <wp:docPr id="3" name="图片 3" descr="C:\Users\Administrator\Desktop\累计成交量、月成交量.png累计成交量、月成交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累计成交量、月成交量.png累计成交量、月成交量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60650"/>
            <wp:effectExtent l="0" t="0" r="2540" b="635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输入月份及相应月份的月成交量和累计成交额。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如：果树财富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1133"/>
        <w:gridCol w:w="1118"/>
        <w:gridCol w:w="1117"/>
        <w:gridCol w:w="1118"/>
        <w:gridCol w:w="1397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果树财富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３月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４月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５月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６月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７月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累计成交额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8.46亿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8.69亿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9.31亿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9.93亿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11.25亿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12.06亿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月成交量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6715.45万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3819.78万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6074.64万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6327.78万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8037.95万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8038万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4、总待收：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7625"/>
            <wp:effectExtent l="0" t="0" r="4445" b="3175"/>
            <wp:docPr id="9" name="图片 9" descr="C:\Users\Administrator\Desktop\总待收.png总待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总待收.png总待收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60650"/>
            <wp:effectExtent l="0" t="0" r="2540" b="635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输入月份及相应总待收金额、单位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果树财富：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1133"/>
        <w:gridCol w:w="1118"/>
        <w:gridCol w:w="1117"/>
        <w:gridCol w:w="1118"/>
        <w:gridCol w:w="1397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果树财富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３月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４月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５月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６月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７月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总待收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2.52亿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2.47亿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2.53亿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2.57亿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2.86亿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3.1亿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5、现金流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8260"/>
            <wp:effectExtent l="0" t="0" r="4445" b="2540"/>
            <wp:docPr id="10" name="图片 10" descr="C:\Users\Administrator\Desktop\现金流.png现金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现金流.png现金流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53665"/>
            <wp:effectExtent l="0" t="0" r="9525" b="1333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输入月份及相应现金流金额、单位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果树财富：</w:t>
      </w:r>
    </w:p>
    <w:tbl>
      <w:tblPr>
        <w:tblStyle w:val="3"/>
        <w:tblpPr w:leftFromText="180" w:rightFromText="180" w:vertAnchor="text" w:horzAnchor="page" w:tblpX="1793" w:tblpY="301"/>
        <w:tblOverlap w:val="never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1277"/>
        <w:gridCol w:w="1150"/>
        <w:gridCol w:w="1175"/>
        <w:gridCol w:w="1212"/>
        <w:gridCol w:w="1200"/>
        <w:gridCol w:w="1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果树财富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2月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３月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４月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５月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６月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７月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现金流（万）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正向2267.76万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负向458.89</w:t>
            </w:r>
          </w:p>
        </w:tc>
        <w:tc>
          <w:tcPr>
            <w:tcW w:w="1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正向623.63万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正向260.78万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正向2213.83万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bottom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正向2214.99万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6、注册人数、投资人数、借款人数：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8260"/>
            <wp:effectExtent l="0" t="0" r="4445" b="2540"/>
            <wp:docPr id="11" name="图片 11" descr="C:\Users\Administrator\Desktop\新增交易人数.png新增交易人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新增交易人数.png新增交易人数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47315"/>
            <wp:effectExtent l="0" t="0" r="9525" b="63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果树财富：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8"/>
        <w:gridCol w:w="1133"/>
        <w:gridCol w:w="1118"/>
        <w:gridCol w:w="1117"/>
        <w:gridCol w:w="1118"/>
        <w:gridCol w:w="1397"/>
        <w:gridCol w:w="1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果树财富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３月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４月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５月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６月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７月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注册人数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4165.00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5312.00 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5096.00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5944.00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5482.00 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5818.00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借款人数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722.00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1053.00 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1008.00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1053.00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1185.00 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1421.00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投资人数</w:t>
            </w:r>
          </w:p>
        </w:tc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3443.00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4259.00 </w:t>
            </w:r>
          </w:p>
        </w:tc>
        <w:tc>
          <w:tcPr>
            <w:tcW w:w="1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4088.00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4891.00 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4297.00 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4397.00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Part2：同地区平台信息</w:t>
      </w:r>
    </w:p>
    <w:p>
      <w:r>
        <w:drawing>
          <wp:inline distT="0" distB="0" distL="114300" distR="114300">
            <wp:extent cx="5267325" cy="3520440"/>
            <wp:effectExtent l="0" t="0" r="9525" b="381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鼠标移到省的板块里面显示该省包含的平台名称，点击进入为该省平台对比，以达人贷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大唐e贷、果树财富、好又贷、迷你贷、塑如意、投哪网、团贷网、万盈金融、信融财富为例。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1、平台基本情况对比：</w:t>
      </w:r>
    </w:p>
    <w:tbl>
      <w:tblPr>
        <w:tblStyle w:val="3"/>
        <w:tblW w:w="8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平台名称</w:t>
            </w: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地址</w:t>
            </w: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single" w:color="000000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背景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团队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上线时间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星火评级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当月舆情</w:t>
            </w: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66" w:type="dxa"/>
            <w:tcBorders>
              <w:top w:val="dotted" w:color="auto" w:sz="4" w:space="0"/>
              <w:left w:val="dotted" w:color="auto" w:sz="4" w:space="0"/>
              <w:bottom w:val="single" w:color="000000" w:sz="12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2、累计成交额变化：每个板块包含内容有累计成交额及占比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8260"/>
            <wp:effectExtent l="0" t="0" r="4445" b="2540"/>
            <wp:docPr id="5" name="图片 5" descr="C:\Users\Administrator\Desktop\累计成交额变化 (1).png累计成交额变化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累计成交额变化 (1).png累计成交额变化 (1)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3、与累计成交额一样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88260"/>
            <wp:effectExtent l="0" t="0" r="3810" b="2540"/>
            <wp:docPr id="13" name="图片 13" descr="月成交量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月成交量变化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49855"/>
            <wp:effectExtent l="0" t="0" r="3810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4、总待收同上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88260"/>
            <wp:effectExtent l="0" t="0" r="3810" b="2540"/>
            <wp:docPr id="16" name="图片 16" descr="总待收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总待收变化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5、现金流：尽量下面加选择时间的坐标轴。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8260"/>
            <wp:effectExtent l="0" t="0" r="4445" b="2540"/>
            <wp:docPr id="15" name="图片 15" descr="C:\Users\Administrator\Desktop\现金流变化.png现金流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现金流变化.png现金流变化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53665"/>
            <wp:effectExtent l="0" t="0" r="9525" b="133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6、借款期限及综合利率变化：这个可以试下看能否在横坐标下面加时间选项。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588260"/>
            <wp:effectExtent l="0" t="0" r="3810" b="2540"/>
            <wp:docPr id="17" name="图片 17" descr="平均借款期限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平均借款期限变化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39695"/>
            <wp:effectExtent l="0" t="0" r="4445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Part3：同资产类别/同等级平台信息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520440"/>
            <wp:effectExtent l="0" t="0" r="9525" b="381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左右两边分别有选项，选择一个类型的平台，地图上即显示该类型平台（最好能同时显示平台名称），可点击一个平台进入详情页面，也可点击地图外的链接进入该类平台信息页面。链接内信息与上述省内平台信息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4B22"/>
    <w:multiLevelType w:val="singleLevel"/>
    <w:tmpl w:val="59964B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F1D16"/>
    <w:rsid w:val="005B1F53"/>
    <w:rsid w:val="01F27BCD"/>
    <w:rsid w:val="03A3781E"/>
    <w:rsid w:val="05C72F13"/>
    <w:rsid w:val="0B83044C"/>
    <w:rsid w:val="0BBC5F34"/>
    <w:rsid w:val="0BF04317"/>
    <w:rsid w:val="0CBB77F0"/>
    <w:rsid w:val="0E1D5412"/>
    <w:rsid w:val="104F1D16"/>
    <w:rsid w:val="12BF442E"/>
    <w:rsid w:val="141C15B0"/>
    <w:rsid w:val="15E25C0D"/>
    <w:rsid w:val="18595F28"/>
    <w:rsid w:val="18667594"/>
    <w:rsid w:val="1AAF000F"/>
    <w:rsid w:val="213A52F1"/>
    <w:rsid w:val="220A2368"/>
    <w:rsid w:val="226612D8"/>
    <w:rsid w:val="28647FC2"/>
    <w:rsid w:val="289738F7"/>
    <w:rsid w:val="2D6D4FE9"/>
    <w:rsid w:val="2DAE12AD"/>
    <w:rsid w:val="2EFF4704"/>
    <w:rsid w:val="2FF3289B"/>
    <w:rsid w:val="32370445"/>
    <w:rsid w:val="328B250F"/>
    <w:rsid w:val="331E12B9"/>
    <w:rsid w:val="33B83E7F"/>
    <w:rsid w:val="33E45A4F"/>
    <w:rsid w:val="37297402"/>
    <w:rsid w:val="374B35DD"/>
    <w:rsid w:val="37721973"/>
    <w:rsid w:val="39106C4D"/>
    <w:rsid w:val="399D5985"/>
    <w:rsid w:val="39EA02AD"/>
    <w:rsid w:val="3A5D5088"/>
    <w:rsid w:val="401717C1"/>
    <w:rsid w:val="40660CE4"/>
    <w:rsid w:val="41DC6189"/>
    <w:rsid w:val="42741D06"/>
    <w:rsid w:val="461968F9"/>
    <w:rsid w:val="471613B3"/>
    <w:rsid w:val="4D205398"/>
    <w:rsid w:val="4DD611B6"/>
    <w:rsid w:val="4E83221F"/>
    <w:rsid w:val="4ED864DC"/>
    <w:rsid w:val="4F5E0359"/>
    <w:rsid w:val="50BE07A6"/>
    <w:rsid w:val="511D226A"/>
    <w:rsid w:val="520D5764"/>
    <w:rsid w:val="53F04EC6"/>
    <w:rsid w:val="548E72E4"/>
    <w:rsid w:val="54CA6ED4"/>
    <w:rsid w:val="575E51D5"/>
    <w:rsid w:val="5A225225"/>
    <w:rsid w:val="5A987EE3"/>
    <w:rsid w:val="5B6B00A8"/>
    <w:rsid w:val="5B975738"/>
    <w:rsid w:val="5BD7500C"/>
    <w:rsid w:val="5C9D51CC"/>
    <w:rsid w:val="5CB44FBD"/>
    <w:rsid w:val="5CE33202"/>
    <w:rsid w:val="5EE5193F"/>
    <w:rsid w:val="605D25FF"/>
    <w:rsid w:val="61737181"/>
    <w:rsid w:val="61E06BF7"/>
    <w:rsid w:val="63BB7C4F"/>
    <w:rsid w:val="64354804"/>
    <w:rsid w:val="67936E7C"/>
    <w:rsid w:val="68FE1184"/>
    <w:rsid w:val="69C57F89"/>
    <w:rsid w:val="6A7F670F"/>
    <w:rsid w:val="6ADB71CA"/>
    <w:rsid w:val="6C9D2C79"/>
    <w:rsid w:val="6CA35930"/>
    <w:rsid w:val="6CAD4179"/>
    <w:rsid w:val="70093785"/>
    <w:rsid w:val="71902B6B"/>
    <w:rsid w:val="71EE0807"/>
    <w:rsid w:val="721B5CFA"/>
    <w:rsid w:val="75E52CEE"/>
    <w:rsid w:val="76042176"/>
    <w:rsid w:val="787F45FA"/>
    <w:rsid w:val="79935F52"/>
    <w:rsid w:val="7AF67B75"/>
    <w:rsid w:val="7C8A6C17"/>
    <w:rsid w:val="7D036743"/>
    <w:rsid w:val="7D767842"/>
    <w:rsid w:val="7EC16218"/>
    <w:rsid w:val="7F3A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2017-08-09T02:00:00Z</dcterms:created>
  <dc:creator>Administrator</dc:creator>
  <cp:lastModifiedBy>Administrator</cp:lastModifiedBy>
  <dcterms:modified xsi:type="dcterms:W3CDTF">2017-08-18T06:05:59Z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