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11622"/>
            <w:shd w:val="clear" w:color="auto" w:fill="1E3A6E"/>
            <w:tcMar>
              <w:top w:w="120" w:type="dxa"/>
              <w:bottom w:w="120" w:type="dxa"/>
              <w:left w:w="2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40"/>
              </w:rPr>
              <w:t>FALDAS</w:t>
            </w:r>
          </w:p>
        </w:tc>
        <w:tc>
          <w:tcPr>
            <w:tcW w:type="dxa" w:w="3742"/>
            <w:shd w:val="clear" w:color="auto" w:fill="1E3A6E"/>
            <w:tcMar>
              <w:top w:w="120" w:type="dxa"/>
              <w:bottom w:w="120" w:type="dxa"/>
              <w:left w:w="80" w:type="dxa"/>
              <w:right w:w="200" w:type="dxa"/>
            </w:tcMar>
          </w:tcPr>
          <w:p>
            <w:pPr>
              <w:spacing w:before="0" w:after="0"/>
              <w:jc w:val="right"/>
            </w:pPr>
            <w:r>
              <w:rPr>
                <w:color w:val="9DC3E6"/>
                <w:sz w:val="18"/>
              </w:rPr>
              <w:t>Actualizado: Abril 2026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1"/>
        <w:gridCol w:w="5121"/>
        <w:gridCol w:w="5121"/>
      </w:tblGrid>
      <w:tr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Gales (Azul, Rojo, Verde)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$195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$205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$215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28, 30, 32, 34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$225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36, 38, 40, 42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44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Escolar Azul Marino · Cuatro Tablas · Vino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2–14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$195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16, 18, 20, 28, 30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$205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32, 34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$215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$225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Escocés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$215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28, 30, 32, 34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$255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  <w:tr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Gris (Claro y Obscuro)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4–16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28, 30, 32, 34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$275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Pgallo Café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12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$219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$229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28–34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36–42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$259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Preescolar Azul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Línea completa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  <w:tr>
        <w:tc>
          <w:tcPr>
            <w:tcW w:type="dxa" w:w="5121"/>
          </w:tcPr>
          <w:p/>
        </w:tc>
        <w:tc>
          <w:tcPr>
            <w:tcW w:type="dxa" w:w="5121"/>
          </w:tcPr>
          <w:p/>
        </w:tc>
        <w:tc>
          <w:tcPr>
            <w:tcW w:type="dxa" w:w="5121"/>
          </w:tcPr>
          <w:p/>
        </w:tc>
      </w:tr>
      <w:tr>
        <w:tc>
          <w:tcPr>
            <w:tcW w:type="dxa" w:w="5121"/>
          </w:tcPr>
          <w:p/>
        </w:tc>
        <w:tc>
          <w:tcPr>
            <w:tcW w:type="dxa" w:w="5121"/>
          </w:tcPr>
          <w:p/>
        </w:tc>
        <w:tc>
          <w:tcPr>
            <w:tcW w:type="dxa" w:w="5121"/>
          </w:tcPr>
          <w:p/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364"/>
      </w:tblGrid>
      <w:tr>
        <w:tc>
          <w:tcPr>
            <w:tcW w:type="dxa" w:w="15364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5364"/>
            </w:tblGrid>
            <w:tr>
              <w:tc>
                <w:tcPr>
                  <w:tcW w:type="dxa" w:w="15364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Por escuela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121"/>
              <w:gridCol w:w="5121"/>
              <w:gridCol w:w="5121"/>
            </w:tblGrid>
            <w:tr>
              <w:tc>
                <w:tcPr>
                  <w:tcW w:type="dxa" w:w="512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</w:t>
                  </w:r>
                </w:p>
              </w:tc>
              <w:tc>
                <w:tcPr>
                  <w:tcW w:type="dxa" w:w="512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512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Colegio Motolinea · Pata de gallo</w:t>
                  </w:r>
                </w:p>
              </w:tc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4–8 / 10–12 / 14–16 / 28–34 / 36–38</w:t>
                  </w:r>
                </w:p>
              </w:tc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209/219/229/249/259</w:t>
                  </w:r>
                </w:p>
              </w:tc>
            </w:tr>
            <w:tr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SABES</w:t>
                  </w:r>
                </w:p>
              </w:tc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10–34 / 36–42</w:t>
                  </w:r>
                </w:p>
              </w:tc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285/295</w:t>
                  </w:r>
                </w:p>
              </w:tc>
            </w:tr>
            <w:tr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Conalep · Escocés</w:t>
                  </w:r>
                </w:p>
              </w:tc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14–34 / 36–42</w:t>
                  </w:r>
                </w:p>
              </w:tc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285/295</w:t>
                  </w:r>
                </w:p>
              </w:tc>
            </w:tr>
            <w:tr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Margarita Paz Paredes · Preescolar (especial en caja)</w:t>
                  </w:r>
                </w:p>
              </w:tc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4, 6, 8</w:t>
                  </w:r>
                </w:p>
              </w:tc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$89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p>
      <w:pPr>
        <w:spacing w:before="0" w:after="40"/>
      </w:pPr>
      <w:r>
        <w:rPr>
          <w:i/>
          <w:color w:val="666666"/>
          <w:sz w:val="17"/>
        </w:rPr>
        <w:t xml:space="preserve">  Las faldas por escuela siempre deben estar por encima de la línea genérica.</w:t>
      </w:r>
    </w:p>
    <w:sectPr w:rsidR="00FC693F" w:rsidRPr="0006063C" w:rsidSect="00034616">
      <w:pgSz w:w="16838" w:h="11906" w:orient="landscape"/>
      <w:pgMar w:top="680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