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5.png" ContentType="image/png"/>
  <Override PartName="/word/media/rId31.png" ContentType="image/png"/>
  <Override PartName="/word/media/rId37.png" ContentType="image/png"/>
  <Override PartName="/word/media/rId19.png" ContentType="image/png"/>
  <Override PartName="/word/media/rId22.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ritical-review-artikel-12"/>
    <w:p>
      <w:pPr>
        <w:pStyle w:val="Heading1"/>
      </w:pPr>
      <w:r>
        <w:t xml:space="preserve">CRITICAL REVIEW — ARTIKEL 12</w:t>
      </w:r>
    </w:p>
    <w:p>
      <w:pPr>
        <w:pStyle w:val="FirstParagraph"/>
      </w:pPr>
      <w:r>
        <w:rPr>
          <w:b/>
          <w:bCs/>
        </w:rPr>
        <w:t xml:space="preserve">Mata Kuliah:</w:t>
      </w:r>
      <w:r>
        <w:t xml:space="preserve"> </w:t>
      </w:r>
      <w:r>
        <w:t xml:space="preserve">MST304 — Manajemen Strategik Kontemporer</w:t>
      </w:r>
    </w:p>
    <w:p>
      <w:pPr>
        <w:pStyle w:val="BodyText"/>
      </w:pPr>
      <w:r>
        <w:rPr>
          <w:b/>
          <w:bCs/>
        </w:rPr>
        <w:t xml:space="preserve">Pertemuan:</w:t>
      </w:r>
      <w:r>
        <w:t xml:space="preserve"> </w:t>
      </w:r>
      <w:r>
        <w:t xml:space="preserve">7 —</w:t>
      </w:r>
      <w:r>
        <w:t xml:space="preserve"> </w:t>
      </w:r>
      <w:r>
        <w:rPr>
          <w:i/>
          <w:iCs/>
        </w:rPr>
        <w:t xml:space="preserve">Corporate Strategy: Diversification and the Multibusiness Company</w:t>
      </w:r>
    </w:p>
    <w:p>
      <w:pPr>
        <w:pStyle w:val="BodyText"/>
      </w:pPr>
      <w:r>
        <w:rPr>
          <w:b/>
          <w:bCs/>
        </w:rPr>
        <w:t xml:space="preserve">Mahasiswa:</w:t>
      </w:r>
      <w:r>
        <w:t xml:space="preserve"> </w:t>
      </w:r>
      <w:r>
        <w:t xml:space="preserve">Dzaki Muhammad Yusfian</w:t>
      </w:r>
    </w:p>
    <w:p>
      <w:pPr>
        <w:pStyle w:val="BodyText"/>
      </w:pPr>
      <w:r>
        <w:rPr>
          <w:b/>
          <w:bCs/>
        </w:rPr>
        <w:t xml:space="preserve">NIM:</w:t>
      </w:r>
      <w:r>
        <w:t xml:space="preserve"> </w:t>
      </w:r>
      <w:r>
        <w:t xml:space="preserve">1125 01079</w:t>
      </w:r>
    </w:p>
    <w:p>
      <w:pPr>
        <w:pStyle w:val="BodyText"/>
      </w:pPr>
      <w:r>
        <w:rPr>
          <w:b/>
          <w:bCs/>
        </w:rPr>
        <w:t xml:space="preserve">Artikel:</w:t>
      </w:r>
      <w:r>
        <w:t xml:space="preserve"> </w:t>
      </w:r>
      <w:r>
        <w:t xml:space="preserve">Okebaram, S. M. &amp; Onuoha, C. E. (2018).</w:t>
      </w:r>
      <w:r>
        <w:t xml:space="preserve"> </w:t>
      </w:r>
      <w:r>
        <w:rPr>
          <w:i/>
          <w:iCs/>
        </w:rPr>
        <w:t xml:space="preserve">Implication of Strategic Fit and Sustainability on Organizational Effectiveness.</w:t>
      </w:r>
      <w:r>
        <w:t xml:space="preserve"> </w:t>
      </w:r>
      <w:r>
        <w:t xml:space="preserve">The 2018 International Academic Research Conference in Vienna, pp. 194–213.</w:t>
      </w:r>
    </w:p>
    <w:p>
      <w:r>
        <w:pict>
          <v:rect style="width:0;height:1.5pt" o:hralign="center" o:hrstd="t" o:hr="t"/>
        </w:pict>
      </w:r>
    </w:p>
    <w:bookmarkStart w:id="9" w:name="identitas-artikel"/>
    <w:p>
      <w:pPr>
        <w:pStyle w:val="Heading2"/>
      </w:pPr>
      <w:r>
        <w:t xml:space="preserve">§1 Identitas Artikel</w:t>
      </w:r>
    </w:p>
    <w:p>
      <w:pPr>
        <w:pStyle w:val="FirstParagraph"/>
      </w:pPr>
      <w:r>
        <w:t xml:space="preserve">Artikel yang diulas adalah Okebaram, Sunday Moses dan Onuoha, Charity Ekwutosi (2018) berjudul</w:t>
      </w:r>
      <w:r>
        <w:t xml:space="preserve"> </w:t>
      </w:r>
      <w:r>
        <w:rPr>
          <w:i/>
          <w:iCs/>
        </w:rPr>
        <w:t xml:space="preserve">Implication of Strategic Fit and Sustainability on Organizational Effectiveness</w:t>
      </w:r>
      <w:r>
        <w:t xml:space="preserve">, dipresentasikan pada</w:t>
      </w:r>
      <w:r>
        <w:t xml:space="preserve"> </w:t>
      </w:r>
      <w:r>
        <w:rPr>
          <w:i/>
          <w:iCs/>
        </w:rPr>
        <w:t xml:space="preserve">The 2018 International Academic Research Conference</w:t>
      </w:r>
      <w:r>
        <w:t xml:space="preserve"> </w:t>
      </w:r>
      <w:r>
        <w:t xml:space="preserve">yang diselenggarakan di Vienna, Austria, dengan tubuh artikel terbentang pada halaman 194–213. Venue ini merupakan</w:t>
      </w:r>
      <w:r>
        <w:t xml:space="preserve"> </w:t>
      </w:r>
      <w:r>
        <w:rPr>
          <w:i/>
          <w:iCs/>
        </w:rPr>
        <w:t xml:space="preserve">international conference paper venue</w:t>
      </w:r>
      <w:r>
        <w:t xml:space="preserve"> </w:t>
      </w:r>
      <w:r>
        <w:t xml:space="preserve">— bertaraf akademik tetapi berada pada tier yang lebih rendah daripada jurnal</w:t>
      </w:r>
      <w:r>
        <w:t xml:space="preserve"> </w:t>
      </w:r>
      <w:r>
        <w:rPr>
          <w:i/>
          <w:iCs/>
        </w:rPr>
        <w:t xml:space="preserve">top-quartile</w:t>
      </w:r>
      <w:r>
        <w:t xml:space="preserve"> </w:t>
      </w:r>
      <w:r>
        <w:t xml:space="preserve">berbasis SSCI/Scopus seperti</w:t>
      </w:r>
      <w:r>
        <w:t xml:space="preserve"> </w:t>
      </w:r>
      <w:r>
        <w:rPr>
          <w:i/>
          <w:iCs/>
        </w:rPr>
        <w:t xml:space="preserve">Strategic Management Journal</w:t>
      </w:r>
      <w:r>
        <w:t xml:space="preserve"> </w:t>
      </w:r>
      <w:r>
        <w:t xml:space="preserve">atau</w:t>
      </w:r>
      <w:r>
        <w:t xml:space="preserve"> </w:t>
      </w:r>
      <w:r>
        <w:rPr>
          <w:i/>
          <w:iCs/>
        </w:rPr>
        <w:t xml:space="preserve">Academy of Management Journal</w:t>
      </w:r>
      <w:r>
        <w:t xml:space="preserve">. Proses telaah sejawat pada</w:t>
      </w:r>
      <w:r>
        <w:t xml:space="preserve"> </w:t>
      </w:r>
      <w:r>
        <w:rPr>
          <w:i/>
          <w:iCs/>
        </w:rPr>
        <w:t xml:space="preserve">conference paper</w:t>
      </w:r>
      <w:r>
        <w:t xml:space="preserve"> </w:t>
      </w:r>
      <w:r>
        <w:t xml:space="preserve">umumnya lebih ringkas — fokus pada relevansi tema dan kelengkapan draf — dibandingkan dengan jurnal</w:t>
      </w:r>
      <w:r>
        <w:t xml:space="preserve"> </w:t>
      </w:r>
      <w:r>
        <w:rPr>
          <w:i/>
          <w:iCs/>
        </w:rPr>
        <w:t xml:space="preserve">peer-reviewed</w:t>
      </w:r>
      <w:r>
        <w:t xml:space="preserve"> </w:t>
      </w:r>
      <w:r>
        <w:t xml:space="preserve">utama yang dapat memakan waktu enam bulan hingga dua tahun. Catatan ini penting sebagai bingkai</w:t>
      </w:r>
      <w:r>
        <w:t xml:space="preserve"> </w:t>
      </w:r>
      <w:r>
        <w:rPr>
          <w:i/>
          <w:iCs/>
        </w:rPr>
        <w:t xml:space="preserve">expectation setting</w:t>
      </w:r>
      <w:r>
        <w:t xml:space="preserve"> </w:t>
      </w:r>
      <w:r>
        <w:t xml:space="preserve">sebelum membahas substansi.</w:t>
      </w:r>
    </w:p>
    <w:p>
      <w:pPr>
        <w:pStyle w:val="BodyText"/>
      </w:pPr>
      <w:r>
        <w:t xml:space="preserve">Penulis pertama, Okebaram Sunday Moses (Ph.D), berafiliasi dengan Department of Business Administration, Michael Okpara University of Agriculture, Umudike, Nigeria. Penulis kedua, Onuoha Charity Ekwutosi, berafiliasi dengan Department of Business Administration, University of Science and Technology, Enugu State, Nigeria. Kedua afiliasi tersebut menjelaskan pemilihan sampel empiris pada industri telekomunikasi dan perbankan Nigeria. Artikel ini bersifat</w:t>
      </w:r>
      <w:r>
        <w:t xml:space="preserve"> </w:t>
      </w:r>
      <w:r>
        <w:rPr>
          <w:b/>
          <w:bCs/>
        </w:rPr>
        <w:t xml:space="preserve">studi empirik survei</w:t>
      </w:r>
      <w:r>
        <w:t xml:space="preserve"> </w:t>
      </w:r>
      <w:r>
        <w:t xml:space="preserve">—</w:t>
      </w:r>
      <w:r>
        <w:t xml:space="preserve"> </w:t>
      </w:r>
      <w:r>
        <w:rPr>
          <w:i/>
          <w:iCs/>
        </w:rPr>
        <w:t xml:space="preserve">bukan</w:t>
      </w:r>
      <w:r>
        <w:t xml:space="preserve"> </w:t>
      </w:r>
      <w:r>
        <w:t xml:space="preserve">pure conceptual seperti Artikel 11 — dengan desain</w:t>
      </w:r>
      <w:r>
        <w:t xml:space="preserve"> </w:t>
      </w:r>
      <w:r>
        <w:rPr>
          <w:i/>
          <w:iCs/>
        </w:rPr>
        <w:t xml:space="preserve">cross-sectional</w:t>
      </w:r>
      <w:r>
        <w:t xml:space="preserve">, sampel n = 212 responden, dan uji Z-test pada</w:t>
      </w:r>
      <w:r>
        <w:t xml:space="preserve"> </w:t>
      </w:r>
      <w:r>
        <w:rPr>
          <w:i/>
          <w:iCs/>
        </w:rPr>
        <w:t xml:space="preserve">mean Likert</w:t>
      </w:r>
      <w:r>
        <w:t xml:space="preserve"> </w:t>
      </w:r>
      <w:r>
        <w:t xml:space="preserve">untuk tiga hipotesis null.</w:t>
      </w:r>
      <w:r>
        <w:t xml:space="preserve"> </w:t>
      </w:r>
      <w:r>
        <w:rPr>
          <w:b/>
          <w:bCs/>
        </w:rPr>
        <w:t xml:space="preserve">Catatan kritis penting:</w:t>
      </w:r>
      <w:r>
        <w:t xml:space="preserve"> </w:t>
      </w:r>
      <w:r>
        <w:t xml:space="preserve">penulis mencantumkan sumber data sebagai</w:t>
      </w:r>
      <w:r>
        <w:t xml:space="preserve"> </w:t>
      </w:r>
      <w:r>
        <w:t xml:space="preserve">“Field Survey 2014”</w:t>
      </w:r>
      <w:r>
        <w:t xml:space="preserve"> </w:t>
      </w:r>
      <w:r>
        <w:t xml:space="preserve">pada artikel yang dipresentasikan pada konferensi 2018 — terdapat jeda empat tahun antara pengumpulan data dan publikasi yang tidak diungkapkan secara eksplisit dalam</w:t>
      </w:r>
      <w:r>
        <w:t xml:space="preserve"> </w:t>
      </w:r>
      <w:r>
        <w:rPr>
          <w:i/>
          <w:iCs/>
        </w:rPr>
        <w:t xml:space="preserve">methodology disclosure</w:t>
      </w:r>
      <w:r>
        <w:t xml:space="preserve">. Hal ini merupakan isu</w:t>
      </w:r>
      <w:r>
        <w:t xml:space="preserve"> </w:t>
      </w:r>
      <w:r>
        <w:rPr>
          <w:i/>
          <w:iCs/>
        </w:rPr>
        <w:t xml:space="preserve">temporal validity</w:t>
      </w:r>
      <w:r>
        <w:t xml:space="preserve"> </w:t>
      </w:r>
      <w:r>
        <w:t xml:space="preserve">yang akan dibahas pada §6.</w:t>
      </w:r>
    </w:p>
    <w:bookmarkEnd w:id="9"/>
    <w:bookmarkStart w:id="12" w:name="X9ca7e4db898c0454268789f9a8be7181fc9df28"/>
    <w:p>
      <w:pPr>
        <w:pStyle w:val="Heading2"/>
      </w:pPr>
      <w:r>
        <w:t xml:space="preserve">§2 Tujuan Penelitian dan Posisi dalam Literatur</w:t>
      </w:r>
    </w:p>
    <w:bookmarkStart w:id="10" w:name="pertanyaan-riset-dan-tiga-hipotesis-null"/>
    <w:p>
      <w:pPr>
        <w:pStyle w:val="Heading3"/>
      </w:pPr>
      <w:r>
        <w:t xml:space="preserve">Pertanyaan Riset dan Tiga Hipotesis Null</w:t>
      </w:r>
    </w:p>
    <w:p>
      <w:pPr>
        <w:pStyle w:val="FirstParagraph"/>
      </w:pPr>
      <w:r>
        <w:t xml:space="preserve">Pertanyaan riset utama Okebaram dan Onuoha (2018) dapat dirumuskan ulang sebagai: bagaimana</w:t>
      </w:r>
      <w:r>
        <w:t xml:space="preserve"> </w:t>
      </w:r>
      <w:r>
        <w:rPr>
          <w:i/>
          <w:iCs/>
        </w:rPr>
        <w:t xml:space="preserve">strategic fit</w:t>
      </w:r>
      <w:r>
        <w:t xml:space="preserve"> </w:t>
      </w:r>
      <w:r>
        <w:t xml:space="preserve">— yang dioperasionalisasi melalui kerangka</w:t>
      </w:r>
      <w:r>
        <w:t xml:space="preserve"> </w:t>
      </w:r>
      <w:r>
        <w:rPr>
          <w:i/>
          <w:iCs/>
        </w:rPr>
        <w:t xml:space="preserve">4Cs</w:t>
      </w:r>
      <w:r>
        <w:t xml:space="preserve"> </w:t>
      </w:r>
      <w:r>
        <w:t xml:space="preserve">Medcof (1997) — berimplikasi pada</w:t>
      </w:r>
      <w:r>
        <w:t xml:space="preserve"> </w:t>
      </w:r>
      <w:r>
        <w:rPr>
          <w:i/>
          <w:iCs/>
        </w:rPr>
        <w:t xml:space="preserve">organizational effectiveness</w:t>
      </w:r>
      <w:r>
        <w:t xml:space="preserve"> </w:t>
      </w:r>
      <w:r>
        <w:t xml:space="preserve">melalui tiga jalur organisasional yaitu</w:t>
      </w:r>
      <w:r>
        <w:t xml:space="preserve"> </w:t>
      </w:r>
      <w:r>
        <w:rPr>
          <w:i/>
          <w:iCs/>
        </w:rPr>
        <w:t xml:space="preserve">organization design</w:t>
      </w:r>
      <w:r>
        <w:t xml:space="preserve">,</w:t>
      </w:r>
      <w:r>
        <w:t xml:space="preserve"> </w:t>
      </w:r>
      <w:r>
        <w:rPr>
          <w:i/>
          <w:iCs/>
        </w:rPr>
        <w:t xml:space="preserve">employee relations</w:t>
      </w:r>
      <w:r>
        <w:t xml:space="preserve">, dan</w:t>
      </w:r>
      <w:r>
        <w:t xml:space="preserve"> </w:t>
      </w:r>
      <w:r>
        <w:rPr>
          <w:i/>
          <w:iCs/>
        </w:rPr>
        <w:t xml:space="preserve">information exchange</w:t>
      </w:r>
      <w:r>
        <w:t xml:space="preserve">? Pertanyaan ini diterjemahkan ke dalam tiga hipotesis null yang diuji secara statistik. Hipotesis pertama (H₀1) menyatakan bahwa</w:t>
      </w:r>
      <w:r>
        <w:t xml:space="preserve"> </w:t>
      </w:r>
      <w:r>
        <w:rPr>
          <w:i/>
          <w:iCs/>
        </w:rPr>
        <w:t xml:space="preserve">strategic organization design</w:t>
      </w:r>
      <w:r>
        <w:t xml:space="preserve"> </w:t>
      </w:r>
      <w:r>
        <w:t xml:space="preserve">tidak meningkatkan</w:t>
      </w:r>
      <w:r>
        <w:t xml:space="preserve"> </w:t>
      </w:r>
      <w:r>
        <w:rPr>
          <w:i/>
          <w:iCs/>
        </w:rPr>
        <w:t xml:space="preserve">organizational effectiveness</w:t>
      </w:r>
      <w:r>
        <w:t xml:space="preserve"> </w:t>
      </w:r>
      <w:r>
        <w:t xml:space="preserve">— ditolak dengan Z = 5,342 dan p ≈ 0,000. Hipotesis kedua (H₀2) menyatakan bahwa</w:t>
      </w:r>
      <w:r>
        <w:t xml:space="preserve"> </w:t>
      </w:r>
      <w:r>
        <w:rPr>
          <w:i/>
          <w:iCs/>
        </w:rPr>
        <w:t xml:space="preserve">strategic fit</w:t>
      </w:r>
      <w:r>
        <w:t xml:space="preserve"> </w:t>
      </w:r>
      <w:r>
        <w:t xml:space="preserve">tidak mempertahankan</w:t>
      </w:r>
      <w:r>
        <w:t xml:space="preserve"> </w:t>
      </w:r>
      <w:r>
        <w:rPr>
          <w:i/>
          <w:iCs/>
        </w:rPr>
        <w:t xml:space="preserve">employee relations</w:t>
      </w:r>
      <w:r>
        <w:t xml:space="preserve"> </w:t>
      </w:r>
      <w:r>
        <w:t xml:space="preserve">untuk meningkatkan</w:t>
      </w:r>
      <w:r>
        <w:t xml:space="preserve"> </w:t>
      </w:r>
      <w:r>
        <w:rPr>
          <w:i/>
          <w:iCs/>
        </w:rPr>
        <w:t xml:space="preserve">effectiveness</w:t>
      </w:r>
      <w:r>
        <w:t xml:space="preserve"> </w:t>
      </w:r>
      <w:r>
        <w:t xml:space="preserve">— ditolak dengan Z = 5,677 dan p ≈ 0,000. Hipotesis ketiga (H₀3) menyatakan bahwa</w:t>
      </w:r>
      <w:r>
        <w:t xml:space="preserve"> </w:t>
      </w:r>
      <w:r>
        <w:rPr>
          <w:i/>
          <w:iCs/>
        </w:rPr>
        <w:t xml:space="preserve">strategic fit</w:t>
      </w:r>
      <w:r>
        <w:t xml:space="preserve"> </w:t>
      </w:r>
      <w:r>
        <w:t xml:space="preserve">tidak meningkatkan</w:t>
      </w:r>
      <w:r>
        <w:t xml:space="preserve"> </w:t>
      </w:r>
      <w:r>
        <w:rPr>
          <w:i/>
          <w:iCs/>
        </w:rPr>
        <w:t xml:space="preserve">information exchange</w:t>
      </w:r>
      <w:r>
        <w:t xml:space="preserve"> </w:t>
      </w:r>
      <w:r>
        <w:t xml:space="preserve">untuk meningkatkan</w:t>
      </w:r>
      <w:r>
        <w:t xml:space="preserve"> </w:t>
      </w:r>
      <w:r>
        <w:rPr>
          <w:i/>
          <w:iCs/>
        </w:rPr>
        <w:t xml:space="preserve">effectiveness</w:t>
      </w:r>
      <w:r>
        <w:t xml:space="preserve"> </w:t>
      </w:r>
      <w:r>
        <w:t xml:space="preserve">— ditolak dengan Z = 5,745 dan p ≈ 0,000. Ketiga hasil ini menjadi pijakan empiris penulis untuk menarik kesimpulan bahwa integrasi</w:t>
      </w:r>
      <w:r>
        <w:t xml:space="preserve"> </w:t>
      </w:r>
      <w:r>
        <w:rPr>
          <w:i/>
          <w:iCs/>
        </w:rPr>
        <w:t xml:space="preserve">4Cs</w:t>
      </w:r>
      <w:r>
        <w:t xml:space="preserve"> </w:t>
      </w:r>
      <w:r>
        <w:t xml:space="preserve">dengan tiga elemen organisasi tersebut menghasilkan sinergi dan keberlanjutan</w:t>
      </w:r>
      <w:r>
        <w:t xml:space="preserve"> </w:t>
      </w:r>
      <w:r>
        <w:rPr>
          <w:i/>
          <w:iCs/>
        </w:rPr>
        <w:t xml:space="preserve">organizational effectiveness</w:t>
      </w:r>
      <w:r>
        <w:t xml:space="preserve">.</w:t>
      </w:r>
      <w:r>
        <w:t xml:space="preserve"> </w:t>
      </w:r>
      <w:r>
        <w:rPr>
          <w:b/>
          <w:bCs/>
        </w:rPr>
        <w:t xml:space="preserve">Catatan kritis awal:</w:t>
      </w:r>
      <w:r>
        <w:t xml:space="preserve"> </w:t>
      </w:r>
      <w:r>
        <w:t xml:space="preserve">uji Z-test pada</w:t>
      </w:r>
      <w:r>
        <w:t xml:space="preserve"> </w:t>
      </w:r>
      <w:r>
        <w:rPr>
          <w:i/>
          <w:iCs/>
        </w:rPr>
        <w:t xml:space="preserve">mean</w:t>
      </w:r>
      <w:r>
        <w:t xml:space="preserve"> </w:t>
      </w:r>
      <w:r>
        <w:t xml:space="preserve">skor Likert merupakan praktik statistik yang dapat dipertanyakan secara metodologis, dan akan dibahas lebih dalam pada §6 dan §7.</w:t>
      </w:r>
    </w:p>
    <w:bookmarkEnd w:id="10"/>
    <w:bookmarkStart w:id="11" w:name="posisi-dalam-literatur-strategic-fit"/>
    <w:p>
      <w:pPr>
        <w:pStyle w:val="Heading3"/>
      </w:pPr>
      <w:r>
        <w:t xml:space="preserve">Posisi dalam Literatur Strategic Fit</w:t>
      </w:r>
    </w:p>
    <w:p>
      <w:pPr>
        <w:pStyle w:val="FirstParagraph"/>
      </w:pPr>
      <w:r>
        <w:t xml:space="preserve">Penulis memposisikan artikelnya pada perpotongan beberapa aliran literatur klasik tentang</w:t>
      </w:r>
      <w:r>
        <w:t xml:space="preserve"> </w:t>
      </w:r>
      <w:r>
        <w:rPr>
          <w:i/>
          <w:iCs/>
        </w:rPr>
        <w:t xml:space="preserve">strategic fit</w:t>
      </w:r>
      <w:r>
        <w:t xml:space="preserve">. Definisi fundamental</w:t>
      </w:r>
      <w:r>
        <w:t xml:space="preserve"> </w:t>
      </w:r>
      <w:r>
        <w:rPr>
          <w:i/>
          <w:iCs/>
        </w:rPr>
        <w:t xml:space="preserve">fit</w:t>
      </w:r>
      <w:r>
        <w:t xml:space="preserve"> </w:t>
      </w:r>
      <w:r>
        <w:t xml:space="preserve">diambil dari Nadler dan Tushman (1980):</w:t>
      </w:r>
      <w:r>
        <w:t xml:space="preserve"> </w:t>
      </w:r>
      <w:r>
        <w:rPr>
          <w:i/>
          <w:iCs/>
        </w:rPr>
        <w:t xml:space="preserve">the degree to which the needs, demands, goals, objectives, and structures of one component match</w:t>
      </w:r>
      <w:r>
        <w:t xml:space="preserve">. Konsep</w:t>
      </w:r>
      <w:r>
        <w:t xml:space="preserve"> </w:t>
      </w:r>
      <w:r>
        <w:rPr>
          <w:i/>
          <w:iCs/>
        </w:rPr>
        <w:t xml:space="preserve">sustained competitive advantage</w:t>
      </w:r>
      <w:r>
        <w:t xml:space="preserve"> </w:t>
      </w:r>
      <w:r>
        <w:t xml:space="preserve">dirujuk dari Porter (1985, hlm. 198). Tipologi strategi kompetitif berbasis Miles dan Snow (1978) —</w:t>
      </w:r>
      <w:r>
        <w:t xml:space="preserve"> </w:t>
      </w:r>
      <w:r>
        <w:rPr>
          <w:i/>
          <w:iCs/>
        </w:rPr>
        <w:t xml:space="preserve">defender, prospector, analyzer, reactor</w:t>
      </w:r>
      <w:r>
        <w:t xml:space="preserve"> </w:t>
      </w:r>
      <w:r>
        <w:t xml:space="preserve">— disinggung sebagai operasionalisasi</w:t>
      </w:r>
      <w:r>
        <w:t xml:space="preserve"> </w:t>
      </w:r>
      <w:r>
        <w:rPr>
          <w:i/>
          <w:iCs/>
        </w:rPr>
        <w:t xml:space="preserve">configurational fit</w:t>
      </w:r>
      <w:r>
        <w:t xml:space="preserve">. Doty, Glick, dan Huber (1993) dirujuk untuk konsep</w:t>
      </w:r>
      <w:r>
        <w:t xml:space="preserve"> </w:t>
      </w:r>
      <w:r>
        <w:rPr>
          <w:i/>
          <w:iCs/>
        </w:rPr>
        <w:t xml:space="preserve">equifinality</w:t>
      </w:r>
      <w:r>
        <w:t xml:space="preserve"> </w:t>
      </w:r>
      <w:r>
        <w:t xml:space="preserve">— bahwa lebih dari satu konfigurasi dapat menghasilkan hasil yang sama. Zajac, Kraatz, dan Bresser (2000) dikutip untuk</w:t>
      </w:r>
      <w:r>
        <w:t xml:space="preserve"> </w:t>
      </w:r>
      <w:r>
        <w:rPr>
          <w:i/>
          <w:iCs/>
        </w:rPr>
        <w:t xml:space="preserve">dynamic fit</w:t>
      </w:r>
      <w:r>
        <w:t xml:space="preserve">. Medcof (1997) menjadi sumber utama operasionalisasi melalui kerangka</w:t>
      </w:r>
      <w:r>
        <w:t xml:space="preserve"> </w:t>
      </w:r>
      <w:r>
        <w:rPr>
          <w:i/>
          <w:iCs/>
        </w:rPr>
        <w:t xml:space="preserve">4Cs</w:t>
      </w:r>
      <w:r>
        <w:t xml:space="preserve">. Shelton (1988) dirujuk untuk strategic fit dalam konteks akuisisi. Ireland, Hitt, dan Vaidyanath (2002) dikutip untuk</w:t>
      </w:r>
      <w:r>
        <w:t xml:space="preserve"> </w:t>
      </w:r>
      <w:r>
        <w:rPr>
          <w:i/>
          <w:iCs/>
        </w:rPr>
        <w:t xml:space="preserve">alliance management</w:t>
      </w:r>
      <w:r>
        <w:t xml:space="preserve">, sementara Bamford, Gomes-Casseres, dan Robinson (2004) menjadi sumber data</w:t>
      </w:r>
      <w:r>
        <w:t xml:space="preserve"> </w:t>
      </w:r>
      <w:r>
        <w:rPr>
          <w:i/>
          <w:iCs/>
        </w:rPr>
        <w:t xml:space="preserve">M&amp;A failure rates</w:t>
      </w:r>
      <w:r>
        <w:t xml:space="preserve"> </w:t>
      </w:r>
      <w:r>
        <w:t xml:space="preserve">50–60% yang menjadi justifikasi praktis artikel. Day (2000) dan Srivastava, Shervani, dan Fahey (1999) digunakan untuk perspektif</w:t>
      </w:r>
      <w:r>
        <w:t xml:space="preserve"> </w:t>
      </w:r>
      <w:r>
        <w:rPr>
          <w:i/>
          <w:iCs/>
        </w:rPr>
        <w:t xml:space="preserve">market-driven organization</w:t>
      </w:r>
      <w:r>
        <w:t xml:space="preserve">. Hoffmann (2007) dirujuk untuk</w:t>
      </w:r>
      <w:r>
        <w:t xml:space="preserve"> </w:t>
      </w:r>
      <w:r>
        <w:rPr>
          <w:i/>
          <w:iCs/>
        </w:rPr>
        <w:t xml:space="preserve">alliance portfolio strategies</w:t>
      </w:r>
      <w:r>
        <w:t xml:space="preserve">. Galaskiewicz dan Zaheer (1999) serta Gulati, Nohria, dan Zaheer (2000) digunakan untuk dimensi</w:t>
      </w:r>
      <w:r>
        <w:t xml:space="preserve"> </w:t>
      </w:r>
      <w:r>
        <w:rPr>
          <w:i/>
          <w:iCs/>
        </w:rPr>
        <w:t xml:space="preserve">network</w:t>
      </w:r>
      <w:r>
        <w:t xml:space="preserve">. Komposisi referensi ini cukup luas, tetapi — sebagaimana akan dibahas pada §7 — meninggalkan celah signifikan pada literatur fundamental yang seharusnya menjadi pondasi diskusi</w:t>
      </w:r>
      <w:r>
        <w:t xml:space="preserve"> </w:t>
      </w:r>
      <w:r>
        <w:rPr>
          <w:i/>
          <w:iCs/>
        </w:rPr>
        <w:t xml:space="preserve">fit</w:t>
      </w:r>
      <w:r>
        <w:t xml:space="preserve">.</w:t>
      </w:r>
    </w:p>
    <w:bookmarkEnd w:id="11"/>
    <w:bookmarkEnd w:id="12"/>
    <w:bookmarkStart w:id="41" w:name="Xd11e68f56d5d3da9dcca151b6ad7db4b1d9a9fa"/>
    <w:p>
      <w:pPr>
        <w:pStyle w:val="Heading2"/>
      </w:pPr>
      <w:r>
        <w:t xml:space="preserve">§3 Argumen Utama —</w:t>
      </w:r>
      <w:r>
        <w:t xml:space="preserve"> </w:t>
      </w:r>
      <w:r>
        <w:rPr>
          <w:i/>
          <w:iCs/>
        </w:rPr>
        <w:t xml:space="preserve">Strategic Fit + 4Cs</w:t>
      </w:r>
      <w:r>
        <w:t xml:space="preserve"> </w:t>
      </w:r>
      <w:r>
        <w:t xml:space="preserve">terhadap Organizational Effectiveness</w:t>
      </w:r>
    </w:p>
    <w:bookmarkStart w:id="16" w:name="Xea6b450c612b19ee1562eff8568474d4d24a2eb"/>
    <w:p>
      <w:pPr>
        <w:pStyle w:val="Heading3"/>
      </w:pPr>
      <w:r>
        <w:t xml:space="preserve">Konseptualisasi Strategic Fit (Nadler &amp; Tushman 1980)</w:t>
      </w:r>
    </w:p>
    <w:p>
      <w:pPr>
        <w:pStyle w:val="FirstParagraph"/>
      </w:pPr>
      <w:r>
        <w:t xml:space="preserve">Okebaram dan Onuoha membangun konseptualisasi</w:t>
      </w:r>
      <w:r>
        <w:t xml:space="preserve"> </w:t>
      </w:r>
      <w:r>
        <w:rPr>
          <w:i/>
          <w:iCs/>
        </w:rPr>
        <w:t xml:space="preserve">strategic fit</w:t>
      </w:r>
      <w:r>
        <w:t xml:space="preserve"> </w:t>
      </w:r>
      <w:r>
        <w:t xml:space="preserve">dengan dua langkah definisi yang saling melengkapi. Pertama, penulis mengutip Nadler dan Tushman (1980) untuk definisi struktural:</w:t>
      </w:r>
      <w:r>
        <w:t xml:space="preserve"> </w:t>
      </w:r>
      <w:r>
        <w:rPr>
          <w:i/>
          <w:iCs/>
        </w:rPr>
        <w:t xml:space="preserve">“Fit is defined as the degree to which the needs, demands, goals, objectives and structures of one component”</w:t>
      </w:r>
      <w:r>
        <w:t xml:space="preserve"> </w:t>
      </w:r>
      <w:r>
        <w:t xml:space="preserve">(hlm. 195). Penulis menambahkan komentar interpretif:</w:t>
      </w:r>
      <w:r>
        <w:t xml:space="preserve"> </w:t>
      </w:r>
      <w:r>
        <w:rPr>
          <w:i/>
          <w:iCs/>
        </w:rPr>
        <w:t xml:space="preserve">“This conceptualization implies that high level of strategic fit is advantageous; therefore, an organization’s fit should be maximized”</w:t>
      </w:r>
      <w:r>
        <w:t xml:space="preserve"> </w:t>
      </w:r>
      <w:r>
        <w:t xml:space="preserve">(hlm. 195). Kedua, penulis memperluas definisi tersebut dengan dimensi</w:t>
      </w:r>
      <w:r>
        <w:t xml:space="preserve"> </w:t>
      </w:r>
      <w:r>
        <w:rPr>
          <w:i/>
          <w:iCs/>
        </w:rPr>
        <w:t xml:space="preserve">external</w:t>
      </w:r>
      <w:r>
        <w:t xml:space="preserve">:</w:t>
      </w:r>
      <w:r>
        <w:t xml:space="preserve"> </w:t>
      </w:r>
      <w:r>
        <w:rPr>
          <w:i/>
          <w:iCs/>
        </w:rPr>
        <w:t xml:space="preserve">“Strategic fit expresses the degree to which an organization is matching its resources and capabilities with the opportunities in the external environment”</w:t>
      </w:r>
      <w:r>
        <w:t xml:space="preserve"> </w:t>
      </w:r>
      <w:r>
        <w:t xml:space="preserve">(hlm. 195). Dua definisi ini menggabungkan</w:t>
      </w:r>
      <w:r>
        <w:t xml:space="preserve"> </w:t>
      </w:r>
      <w:r>
        <w:rPr>
          <w:i/>
          <w:iCs/>
        </w:rPr>
        <w:t xml:space="preserve">internal coherence</w:t>
      </w:r>
      <w:r>
        <w:t xml:space="preserve"> </w:t>
      </w:r>
      <w:r>
        <w:t xml:space="preserve">dengan</w:t>
      </w:r>
      <w:r>
        <w:t xml:space="preserve"> </w:t>
      </w:r>
      <w:r>
        <w:rPr>
          <w:i/>
          <w:iCs/>
        </w:rPr>
        <w:t xml:space="preserve">external alignment</w:t>
      </w:r>
      <w:r>
        <w:t xml:space="preserve"> </w:t>
      </w:r>
      <w:r>
        <w:t xml:space="preserve">— sebuah pendekatan yang konsisten dengan tradisi</w:t>
      </w:r>
      <w:r>
        <w:t xml:space="preserve"> </w:t>
      </w:r>
      <w:r>
        <w:rPr>
          <w:i/>
          <w:iCs/>
        </w:rPr>
        <w:t xml:space="preserve">contingency theory</w:t>
      </w:r>
      <w:r>
        <w:t xml:space="preserve"> </w:t>
      </w:r>
      <w:r>
        <w:t xml:space="preserve">meskipun penulis tidak secara eksplisit menyebut nama tradisi ini.</w:t>
      </w:r>
      <w:r>
        <w:t xml:space="preserve"> </w:t>
      </w:r>
      <w:r>
        <w:rPr>
          <w:b/>
          <w:bCs/>
        </w:rPr>
        <w:t xml:space="preserve">Penting</w:t>
      </w:r>
      <w:r>
        <w:t xml:space="preserve"> </w:t>
      </w:r>
      <w:r>
        <w:t xml:space="preserve">untuk dicatat bahwa definisi yang diadopsi penulis bersifat statis —</w:t>
      </w:r>
      <w:r>
        <w:t xml:space="preserve"> </w:t>
      </w:r>
      <w:r>
        <w:rPr>
          <w:i/>
          <w:iCs/>
        </w:rPr>
        <w:t xml:space="preserve">fit</w:t>
      </w:r>
      <w:r>
        <w:t xml:space="preserve"> </w:t>
      </w:r>
      <w:r>
        <w:t xml:space="preserve">sebagai</w:t>
      </w:r>
      <w:r>
        <w:t xml:space="preserve"> </w:t>
      </w:r>
      <w:r>
        <w:rPr>
          <w:i/>
          <w:iCs/>
        </w:rPr>
        <w:t xml:space="preserve">state of matching</w:t>
      </w:r>
      <w:r>
        <w:t xml:space="preserve">, bukan sebagai proses dinamis. Konsekuensi metodologisnya adalah desain survei</w:t>
      </w:r>
      <w:r>
        <w:t xml:space="preserve"> </w:t>
      </w:r>
      <w:r>
        <w:rPr>
          <w:i/>
          <w:iCs/>
        </w:rPr>
        <w:t xml:space="preserve">cross-sectional</w:t>
      </w:r>
      <w:r>
        <w:t xml:space="preserve"> </w:t>
      </w:r>
      <w:r>
        <w:t xml:space="preserve">yang akan dikritisi pada §7; tanpa pemodelan dinamika temporal, klaim kausal yang ditarik penulis menjadi terlalu ambisius untuk basis data yang tersedia.</w:t>
      </w:r>
    </w:p>
    <w:p>
      <w:pPr>
        <w:pStyle w:val="CaptionedFigure"/>
      </w:pPr>
      <w:r>
        <w:drawing>
          <wp:inline>
            <wp:extent cx="3476625" cy="2762250"/>
            <wp:effectExtent b="0" l="0" r="0" t="0"/>
            <wp:docPr descr="Gambar 1. Executive Fit Matrix — Strategy × Change" title="" id="14" name="Picture"/>
            <a:graphic>
              <a:graphicData uri="http://schemas.openxmlformats.org/drawingml/2006/picture">
                <pic:pic>
                  <pic:nvPicPr>
                    <pic:cNvPr descr="D:/DZAKI/S2/Sem.%201/Manajemen%20Strategik/Dev%20Assistant/temp/ch8_figures/art12_fig_matrix.png" id="15" name="Picture"/>
                    <pic:cNvPicPr>
                      <a:picLocks noChangeArrowheads="1" noChangeAspect="1"/>
                    </pic:cNvPicPr>
                  </pic:nvPicPr>
                  <pic:blipFill>
                    <a:blip r:embed="rId13"/>
                    <a:stretch>
                      <a:fillRect/>
                    </a:stretch>
                  </pic:blipFill>
                  <pic:spPr bwMode="auto">
                    <a:xfrm>
                      <a:off x="0" y="0"/>
                      <a:ext cx="3476625" cy="2762250"/>
                    </a:xfrm>
                    <a:prstGeom prst="rect">
                      <a:avLst/>
                    </a:prstGeom>
                    <a:noFill/>
                    <a:ln w="9525">
                      <a:noFill/>
                      <a:headEnd/>
                      <a:tailEnd/>
                    </a:ln>
                  </pic:spPr>
                </pic:pic>
              </a:graphicData>
            </a:graphic>
          </wp:inline>
        </w:drawing>
      </w:r>
    </w:p>
    <w:p>
      <w:pPr>
        <w:pStyle w:val="ImageCaption"/>
      </w:pPr>
      <w:r>
        <w:rPr>
          <w:i/>
          <w:iCs/>
        </w:rPr>
        <w:t xml:space="preserve">Gambar 1. Executive Fit Matrix — Strategy × Change</w:t>
      </w:r>
    </w:p>
    <w:p>
      <w:pPr>
        <w:pStyle w:val="BodyText"/>
      </w:pPr>
      <w:r>
        <w:rPr>
          <w:i/>
          <w:iCs/>
        </w:rPr>
        <w:t xml:space="preserve">Sumber: Okebaram &amp; Onuoha (2018), International Academic Research Conference Vienna, hlm. 5 (gambar bersumber HBR / Effron &amp; Ort)</w:t>
      </w:r>
    </w:p>
    <w:p>
      <w:pPr>
        <w:pStyle w:val="BodyText"/>
      </w:pPr>
      <w:r>
        <w:t xml:space="preserve">Gambar 1 memvisualisasikan konsep</w:t>
      </w:r>
      <w:r>
        <w:t xml:space="preserve"> </w:t>
      </w:r>
      <w:r>
        <w:rPr>
          <w:i/>
          <w:iCs/>
        </w:rPr>
        <w:t xml:space="preserve">strategic fit</w:t>
      </w:r>
      <w:r>
        <w:t xml:space="preserve"> </w:t>
      </w:r>
      <w:r>
        <w:t xml:space="preserve">melalui dua sumbu: dimensi strategi (</w:t>
      </w:r>
      <w:r>
        <w:rPr>
          <w:i/>
          <w:iCs/>
        </w:rPr>
        <w:t xml:space="preserve">cost advantage</w:t>
      </w:r>
      <w:r>
        <w:t xml:space="preserve"> </w:t>
      </w:r>
      <w:r>
        <w:t xml:space="preserve">↔</w:t>
      </w:r>
      <w:r>
        <w:t xml:space="preserve"> </w:t>
      </w:r>
      <w:r>
        <w:rPr>
          <w:i/>
          <w:iCs/>
        </w:rPr>
        <w:t xml:space="preserve">differentiation advantage</w:t>
      </w:r>
      <w:r>
        <w:t xml:space="preserve">) dan dimensi perubahan lingkungan (</w:t>
      </w:r>
      <w:r>
        <w:rPr>
          <w:i/>
          <w:iCs/>
        </w:rPr>
        <w:t xml:space="preserve">stable</w:t>
      </w:r>
      <w:r>
        <w:t xml:space="preserve"> </w:t>
      </w:r>
      <w:r>
        <w:t xml:space="preserve">↔</w:t>
      </w:r>
      <w:r>
        <w:t xml:space="preserve"> </w:t>
      </w:r>
      <w:r>
        <w:rPr>
          <w:i/>
          <w:iCs/>
        </w:rPr>
        <w:t xml:space="preserve">unstable</w:t>
      </w:r>
      <w:r>
        <w:t xml:space="preserve">). Empat kuadran yang dihasilkan menggambarkan kondisi</w:t>
      </w:r>
      <w:r>
        <w:t xml:space="preserve"> </w:t>
      </w:r>
      <w:r>
        <w:rPr>
          <w:i/>
          <w:iCs/>
        </w:rPr>
        <w:t xml:space="preserve">fit</w:t>
      </w:r>
      <w:r>
        <w:t xml:space="preserve"> </w:t>
      </w:r>
      <w:r>
        <w:t xml:space="preserve">yang berbeda — dari</w:t>
      </w:r>
      <w:r>
        <w:t xml:space="preserve"> </w:t>
      </w:r>
      <w:r>
        <w:rPr>
          <w:i/>
          <w:iCs/>
        </w:rPr>
        <w:t xml:space="preserve">fit</w:t>
      </w:r>
      <w:r>
        <w:t xml:space="preserve"> </w:t>
      </w:r>
      <w:r>
        <w:t xml:space="preserve">yang stabil di lingkungan tenang hingga</w:t>
      </w:r>
      <w:r>
        <w:t xml:space="preserve"> </w:t>
      </w:r>
      <w:r>
        <w:rPr>
          <w:i/>
          <w:iCs/>
        </w:rPr>
        <w:t xml:space="preserve">fit</w:t>
      </w:r>
      <w:r>
        <w:t xml:space="preserve"> </w:t>
      </w:r>
      <w:r>
        <w:t xml:space="preserve">dinamis yang menuntut adaptasi cepat. Diagram ini menjadi pemandu konseptual sebelum operasionalisasi</w:t>
      </w:r>
      <w:r>
        <w:t xml:space="preserve"> </w:t>
      </w:r>
      <w:r>
        <w:rPr>
          <w:i/>
          <w:iCs/>
        </w:rPr>
        <w:t xml:space="preserve">4Cs</w:t>
      </w:r>
      <w:r>
        <w:t xml:space="preserve"> </w:t>
      </w:r>
      <w:r>
        <w:t xml:space="preserve">Medcof (1997) yang diuji secara empiris pada bagian metode.</w:t>
      </w:r>
    </w:p>
    <w:bookmarkEnd w:id="16"/>
    <w:bookmarkStart w:id="17" w:name="kerangka-4cs-medcof-1997"/>
    <w:p>
      <w:pPr>
        <w:pStyle w:val="Heading3"/>
      </w:pPr>
      <w:r>
        <w:t xml:space="preserve">Kerangka</w:t>
      </w:r>
      <w:r>
        <w:t xml:space="preserve"> </w:t>
      </w:r>
      <w:r>
        <w:rPr>
          <w:i/>
          <w:iCs/>
        </w:rPr>
        <w:t xml:space="preserve">4Cs</w:t>
      </w:r>
      <w:r>
        <w:t xml:space="preserve"> </w:t>
      </w:r>
      <w:r>
        <w:t xml:space="preserve">Medcof (1997)</w:t>
      </w:r>
    </w:p>
    <w:p>
      <w:pPr>
        <w:pStyle w:val="FirstParagraph"/>
      </w:pPr>
      <w:r>
        <w:t xml:space="preserve">Operasionalisasi utama</w:t>
      </w:r>
      <w:r>
        <w:t xml:space="preserve"> </w:t>
      </w:r>
      <w:r>
        <w:rPr>
          <w:i/>
          <w:iCs/>
        </w:rPr>
        <w:t xml:space="preserve">strategic fit</w:t>
      </w:r>
      <w:r>
        <w:t xml:space="preserve"> </w:t>
      </w:r>
      <w:r>
        <w:t xml:space="preserve">dalam artikel ini adalah kerangka</w:t>
      </w:r>
      <w:r>
        <w:t xml:space="preserve"> </w:t>
      </w:r>
      <w:r>
        <w:rPr>
          <w:b/>
          <w:bCs/>
        </w:rPr>
        <w:t xml:space="preserve">4Cs</w:t>
      </w:r>
      <w:r>
        <w:t xml:space="preserve"> </w:t>
      </w:r>
      <w:r>
        <w:t xml:space="preserve">yang dipinjam dari Medcof (1997). Keempat C tersebut adalah:</w:t>
      </w:r>
      <w:r>
        <w:t xml:space="preserve"> </w:t>
      </w:r>
      <w:r>
        <w:rPr>
          <w:b/>
          <w:bCs/>
          <w:i/>
          <w:iCs/>
        </w:rPr>
        <w:t xml:space="preserve">Capability</w:t>
      </w:r>
      <w:r>
        <w:t xml:space="preserve"> </w:t>
      </w:r>
      <w:r>
        <w:t xml:space="preserve">— apa yang dibawa setiap mitra ke meja kerja sama, baik berupa keterampilan teknis,</w:t>
      </w:r>
      <w:r>
        <w:t xml:space="preserve"> </w:t>
      </w:r>
      <w:r>
        <w:rPr>
          <w:i/>
          <w:iCs/>
        </w:rPr>
        <w:t xml:space="preserve">intellectual property</w:t>
      </w:r>
      <w:r>
        <w:t xml:space="preserve">,</w:t>
      </w:r>
      <w:r>
        <w:t xml:space="preserve"> </w:t>
      </w:r>
      <w:r>
        <w:rPr>
          <w:i/>
          <w:iCs/>
        </w:rPr>
        <w:t xml:space="preserve">brand equity</w:t>
      </w:r>
      <w:r>
        <w:t xml:space="preserve">, maupun</w:t>
      </w:r>
      <w:r>
        <w:t xml:space="preserve"> </w:t>
      </w:r>
      <w:r>
        <w:rPr>
          <w:i/>
          <w:iCs/>
        </w:rPr>
        <w:t xml:space="preserve">market access</w:t>
      </w:r>
      <w:r>
        <w:t xml:space="preserve">;</w:t>
      </w:r>
      <w:r>
        <w:t xml:space="preserve"> </w:t>
      </w:r>
      <w:r>
        <w:rPr>
          <w:b/>
          <w:bCs/>
          <w:i/>
          <w:iCs/>
        </w:rPr>
        <w:t xml:space="preserve">Compatibility</w:t>
      </w:r>
      <w:r>
        <w:t xml:space="preserve"> </w:t>
      </w:r>
      <w:r>
        <w:t xml:space="preserve">— kesesuaian kultural,</w:t>
      </w:r>
      <w:r>
        <w:t xml:space="preserve"> </w:t>
      </w:r>
      <w:r>
        <w:rPr>
          <w:i/>
          <w:iCs/>
        </w:rPr>
        <w:t xml:space="preserve">managerial style</w:t>
      </w:r>
      <w:r>
        <w:t xml:space="preserve">,</w:t>
      </w:r>
      <w:r>
        <w:t xml:space="preserve"> </w:t>
      </w:r>
      <w:r>
        <w:rPr>
          <w:i/>
          <w:iCs/>
        </w:rPr>
        <w:t xml:space="preserve">organizational climate</w:t>
      </w:r>
      <w:r>
        <w:t xml:space="preserve">, dan asumsi-asumsi diam yang membentuk perilaku sehari-hari;</w:t>
      </w:r>
      <w:r>
        <w:t xml:space="preserve"> </w:t>
      </w:r>
      <w:r>
        <w:rPr>
          <w:b/>
          <w:bCs/>
          <w:i/>
          <w:iCs/>
        </w:rPr>
        <w:t xml:space="preserve">Commitment</w:t>
      </w:r>
      <w:r>
        <w:t xml:space="preserve"> </w:t>
      </w:r>
      <w:r>
        <w:t xml:space="preserve">— kesediaan masing-masing pihak untuk berinvestasi sumber daya —</w:t>
      </w:r>
      <w:r>
        <w:t xml:space="preserve"> </w:t>
      </w:r>
      <w:r>
        <w:rPr>
          <w:i/>
          <w:iCs/>
        </w:rPr>
        <w:t xml:space="preserve">time, money, talent, attention</w:t>
      </w:r>
      <w:r>
        <w:t xml:space="preserve"> </w:t>
      </w:r>
      <w:r>
        <w:t xml:space="preserve">— pada hubungan strategis tersebut; dan</w:t>
      </w:r>
      <w:r>
        <w:t xml:space="preserve"> </w:t>
      </w:r>
      <w:r>
        <w:rPr>
          <w:b/>
          <w:bCs/>
          <w:i/>
          <w:iCs/>
        </w:rPr>
        <w:t xml:space="preserve">Control</w:t>
      </w:r>
      <w:r>
        <w:t xml:space="preserve"> </w:t>
      </w:r>
      <w:r>
        <w:t xml:space="preserve">— pengaturan hak keputusan, struktur tata kelola, dan mekanisme</w:t>
      </w:r>
      <w:r>
        <w:t xml:space="preserve"> </w:t>
      </w:r>
      <w:r>
        <w:rPr>
          <w:i/>
          <w:iCs/>
        </w:rPr>
        <w:t xml:space="preserve">dispute resolution</w:t>
      </w:r>
      <w:r>
        <w:t xml:space="preserve"> </w:t>
      </w:r>
      <w:r>
        <w:t xml:space="preserve">yang menetapkan siapa yang memutuskan apa pada situasi konflik. Penulis menggunakan kerangka ini sebagai</w:t>
      </w:r>
      <w:r>
        <w:t xml:space="preserve"> </w:t>
      </w:r>
      <w:r>
        <w:rPr>
          <w:i/>
          <w:iCs/>
        </w:rPr>
        <w:t xml:space="preserve">diagnostic lens</w:t>
      </w:r>
      <w:r>
        <w:t xml:space="preserve"> </w:t>
      </w:r>
      <w:r>
        <w:t xml:space="preserve">— sebuah</w:t>
      </w:r>
      <w:r>
        <w:t xml:space="preserve"> </w:t>
      </w:r>
      <w:r>
        <w:rPr>
          <w:i/>
          <w:iCs/>
        </w:rPr>
        <w:t xml:space="preserve">checklist</w:t>
      </w:r>
      <w:r>
        <w:t xml:space="preserve"> </w:t>
      </w:r>
      <w:r>
        <w:t xml:space="preserve">yang dapat dipakai praktisi M&amp;A dan</w:t>
      </w:r>
      <w:r>
        <w:t xml:space="preserve"> </w:t>
      </w:r>
      <w:r>
        <w:rPr>
          <w:i/>
          <w:iCs/>
        </w:rPr>
        <w:t xml:space="preserve">alliance manager</w:t>
      </w:r>
      <w:r>
        <w:t xml:space="preserve"> </w:t>
      </w:r>
      <w:r>
        <w:t xml:space="preserve">untuk menilai kesesuaian pre-deal.</w:t>
      </w:r>
      <w:r>
        <w:t xml:space="preserve"> </w:t>
      </w:r>
      <w:r>
        <w:rPr>
          <w:b/>
          <w:bCs/>
        </w:rPr>
        <w:t xml:space="preserve">Catatan apresiatif:</w:t>
      </w:r>
      <w:r>
        <w:t xml:space="preserve"> </w:t>
      </w:r>
      <w:r>
        <w:t xml:space="preserve">dibandingkan dengan tipologi yang terlalu abstrak,</w:t>
      </w:r>
      <w:r>
        <w:t xml:space="preserve"> </w:t>
      </w:r>
      <w:r>
        <w:rPr>
          <w:i/>
          <w:iCs/>
        </w:rPr>
        <w:t xml:space="preserve">4Cs</w:t>
      </w:r>
      <w:r>
        <w:t xml:space="preserve"> </w:t>
      </w:r>
      <w:r>
        <w:t xml:space="preserve">memiliki keuntungan praktis — keempat dimensi cukup spesifik untuk diterjemahkan ke pertanyaan</w:t>
      </w:r>
      <w:r>
        <w:t xml:space="preserve"> </w:t>
      </w:r>
      <w:r>
        <w:rPr>
          <w:i/>
          <w:iCs/>
        </w:rPr>
        <w:t xml:space="preserve">due diligence</w:t>
      </w:r>
      <w:r>
        <w:t xml:space="preserve"> </w:t>
      </w:r>
      <w:r>
        <w:t xml:space="preserve">tetapi cukup umum untuk diterapkan lintas industri dan lintas tipe kemitraan strategis, baik akuisisi murni,</w:t>
      </w:r>
      <w:r>
        <w:t xml:space="preserve"> </w:t>
      </w:r>
      <w:r>
        <w:rPr>
          <w:i/>
          <w:iCs/>
        </w:rPr>
        <w:t xml:space="preserve">joint venture</w:t>
      </w:r>
      <w:r>
        <w:t xml:space="preserve">, maupun</w:t>
      </w:r>
      <w:r>
        <w:t xml:space="preserve"> </w:t>
      </w:r>
      <w:r>
        <w:rPr>
          <w:i/>
          <w:iCs/>
        </w:rPr>
        <w:t xml:space="preserve">contractual alliance</w:t>
      </w:r>
      <w:r>
        <w:t xml:space="preserve">.</w:t>
      </w:r>
    </w:p>
    <w:bookmarkEnd w:id="17"/>
    <w:bookmarkStart w:id="18" w:name="mekanisme-kausal-yang-diuji"/>
    <w:p>
      <w:pPr>
        <w:pStyle w:val="Heading3"/>
      </w:pPr>
      <w:r>
        <w:t xml:space="preserve">Mekanisme Kausal yang Diuji</w:t>
      </w:r>
    </w:p>
    <w:p>
      <w:pPr>
        <w:pStyle w:val="FirstParagraph"/>
      </w:pPr>
      <w:r>
        <w:t xml:space="preserve">Mekanisme kausal yang diajukan dan diuji penulis dapat digambarkan sebagai rantai berikut:</w:t>
      </w:r>
      <w:r>
        <w:t xml:space="preserve"> </w:t>
      </w:r>
      <w:r>
        <w:rPr>
          <w:i/>
          <w:iCs/>
        </w:rPr>
        <w:t xml:space="preserve">Strategic fit</w:t>
      </w:r>
      <w:r>
        <w:t xml:space="preserve"> </w:t>
      </w:r>
      <w:r>
        <w:t xml:space="preserve">— yang dioperasionalisasi melalui</w:t>
      </w:r>
      <w:r>
        <w:t xml:space="preserve"> </w:t>
      </w:r>
      <w:r>
        <w:rPr>
          <w:i/>
          <w:iCs/>
        </w:rPr>
        <w:t xml:space="preserve">4Cs</w:t>
      </w:r>
      <w:r>
        <w:t xml:space="preserve"> </w:t>
      </w:r>
      <w:r>
        <w:t xml:space="preserve">— mempengaruhi tiga jalur organisasional sekaligus, yaitu</w:t>
      </w:r>
      <w:r>
        <w:t xml:space="preserve"> </w:t>
      </w:r>
      <w:r>
        <w:rPr>
          <w:i/>
          <w:iCs/>
        </w:rPr>
        <w:t xml:space="preserve">organization design</w:t>
      </w:r>
      <w:r>
        <w:t xml:space="preserve"> </w:t>
      </w:r>
      <w:r>
        <w:t xml:space="preserve">(struktur formal,</w:t>
      </w:r>
      <w:r>
        <w:t xml:space="preserve"> </w:t>
      </w:r>
      <w:r>
        <w:rPr>
          <w:i/>
          <w:iCs/>
        </w:rPr>
        <w:t xml:space="preserve">job design</w:t>
      </w:r>
      <w:r>
        <w:t xml:space="preserve">, alur kewenangan),</w:t>
      </w:r>
      <w:r>
        <w:t xml:space="preserve"> </w:t>
      </w:r>
      <w:r>
        <w:rPr>
          <w:i/>
          <w:iCs/>
        </w:rPr>
        <w:t xml:space="preserve">employee relations</w:t>
      </w:r>
      <w:r>
        <w:t xml:space="preserve"> </w:t>
      </w:r>
      <w:r>
        <w:t xml:space="preserve">(kontrak psikologis,</w:t>
      </w:r>
      <w:r>
        <w:t xml:space="preserve"> </w:t>
      </w:r>
      <w:r>
        <w:rPr>
          <w:i/>
          <w:iCs/>
        </w:rPr>
        <w:t xml:space="preserve">trust</w:t>
      </w:r>
      <w:r>
        <w:t xml:space="preserve">, kualitas komunikasi atasan-bawahan), dan</w:t>
      </w:r>
      <w:r>
        <w:t xml:space="preserve"> </w:t>
      </w:r>
      <w:r>
        <w:rPr>
          <w:i/>
          <w:iCs/>
        </w:rPr>
        <w:t xml:space="preserve">information exchange</w:t>
      </w:r>
      <w:r>
        <w:t xml:space="preserve"> </w:t>
      </w:r>
      <w:r>
        <w:t xml:space="preserve">(kualitas dan kecepatan aliran informasi lintas unit). Ketiga jalur ini kemudian dianggap menentukan</w:t>
      </w:r>
      <w:r>
        <w:t xml:space="preserve"> </w:t>
      </w:r>
      <w:r>
        <w:rPr>
          <w:i/>
          <w:iCs/>
        </w:rPr>
        <w:t xml:space="preserve">organizational effectiveness</w:t>
      </w:r>
      <w:r>
        <w:t xml:space="preserve"> </w:t>
      </w:r>
      <w:r>
        <w:t xml:space="preserve">dan, pada akhirnya,</w:t>
      </w:r>
      <w:r>
        <w:t xml:space="preserve"> </w:t>
      </w:r>
      <w:r>
        <w:rPr>
          <w:i/>
          <w:iCs/>
        </w:rPr>
        <w:t xml:space="preserve">sustained competitive advantage</w:t>
      </w:r>
      <w:r>
        <w:t xml:space="preserve">. Penulis menyatakan pada hlm. 200:</w:t>
      </w:r>
      <w:r>
        <w:t xml:space="preserve"> </w:t>
      </w:r>
      <w:r>
        <w:rPr>
          <w:i/>
          <w:iCs/>
        </w:rPr>
        <w:t xml:space="preserve">“The veritable ingredients to match assessment of strategic fit in order to attain a desired sustainable competitiveness and organizational effectiveness circles under certain given theory.”</w:t>
      </w:r>
      <w:r>
        <w:t xml:space="preserve"> </w:t>
      </w:r>
      <w:r>
        <w:t xml:space="preserve">Mekanisme yang diajukan ini cukup ambisius — empat C memberi</w:t>
      </w:r>
      <w:r>
        <w:t xml:space="preserve"> </w:t>
      </w:r>
      <w:r>
        <w:rPr>
          <w:i/>
          <w:iCs/>
        </w:rPr>
        <w:t xml:space="preserve">input</w:t>
      </w:r>
      <w:r>
        <w:t xml:space="preserve">, tiga jalur menjadi</w:t>
      </w:r>
      <w:r>
        <w:t xml:space="preserve"> </w:t>
      </w:r>
      <w:r>
        <w:rPr>
          <w:i/>
          <w:iCs/>
        </w:rPr>
        <w:t xml:space="preserve">mediator</w:t>
      </w:r>
      <w:r>
        <w:t xml:space="preserve">, dan</w:t>
      </w:r>
      <w:r>
        <w:t xml:space="preserve"> </w:t>
      </w:r>
      <w:r>
        <w:rPr>
          <w:i/>
          <w:iCs/>
        </w:rPr>
        <w:t xml:space="preserve">effectiveness</w:t>
      </w:r>
      <w:r>
        <w:t xml:space="preserve"> </w:t>
      </w:r>
      <w:r>
        <w:t xml:space="preserve">menjadi</w:t>
      </w:r>
      <w:r>
        <w:t xml:space="preserve"> </w:t>
      </w:r>
      <w:r>
        <w:rPr>
          <w:i/>
          <w:iCs/>
        </w:rPr>
        <w:t xml:space="preserve">outcome</w:t>
      </w:r>
      <w:r>
        <w:t xml:space="preserve">. Namun mekanisme ini tidak diuji dengan model jalur —</w:t>
      </w:r>
      <w:r>
        <w:t xml:space="preserve"> </w:t>
      </w:r>
      <w:r>
        <w:rPr>
          <w:i/>
          <w:iCs/>
        </w:rPr>
        <w:t xml:space="preserve">path model</w:t>
      </w:r>
      <w:r>
        <w:t xml:space="preserve"> </w:t>
      </w:r>
      <w:r>
        <w:t xml:space="preserve">atau</w:t>
      </w:r>
      <w:r>
        <w:t xml:space="preserve"> </w:t>
      </w:r>
      <w:r>
        <w:rPr>
          <w:i/>
          <w:iCs/>
        </w:rPr>
        <w:t xml:space="preserve">structural equation modeling</w:t>
      </w:r>
      <w:r>
        <w:t xml:space="preserve"> </w:t>
      </w:r>
      <w:r>
        <w:t xml:space="preserve">— yang sebenarnya cocok untuk klaim mediasi. Penulis hanya menguji tiga hubungan bivariat melalui Z-test, sehingga klaim mediasi tidak terverifikasi secara statistik. Inkonsistensi antara klaim teoretis dan eksekusi statistik ini akan dibahas lebih lanjut pada §6 dan §7.</w:t>
      </w:r>
    </w:p>
    <w:bookmarkEnd w:id="18"/>
    <w:bookmarkStart w:id="40" w:name="temuan-empiris"/>
    <w:p>
      <w:pPr>
        <w:pStyle w:val="Heading3"/>
      </w:pPr>
      <w:r>
        <w:t xml:space="preserve">Temuan Empiris</w:t>
      </w:r>
    </w:p>
    <w:p>
      <w:pPr>
        <w:pStyle w:val="FirstParagraph"/>
      </w:pPr>
      <w:r>
        <w:t xml:space="preserve">Temuan empiris dari survei pada 212 responden di tiga operator telekomunikasi Nigeria (MTN, Airtel, Etisalat) dan satu bank (Ecobank) konsisten ke arah yang diharapkan penulis. Ketiga hipotesis null ditolak pada tingkat signifikansi p &lt; 0,001 dengan nilai Z masing-masing 5,342, 5,677, dan 5,745. Penulis menyimpulkan pada hlm. 210:</w:t>
      </w:r>
      <w:r>
        <w:t xml:space="preserve"> </w:t>
      </w:r>
      <w:r>
        <w:rPr>
          <w:i/>
          <w:iCs/>
        </w:rPr>
        <w:t xml:space="preserve">“Based on the research outcome, we conclude that the organizations can achieve synergy and sustain their organizational effectiveness by integrating the element of 4Cs capability, compatibility, commitment and control with the appropriate organization design, good employee relations and effective information exchange.”</w:t>
      </w:r>
      <w:r>
        <w:t xml:space="preserve"> </w:t>
      </w:r>
      <w:r>
        <w:t xml:space="preserve">Kesimpulan ini mengintegrasikan keempat dimensi</w:t>
      </w:r>
      <w:r>
        <w:t xml:space="preserve"> </w:t>
      </w:r>
      <w:r>
        <w:rPr>
          <w:i/>
          <w:iCs/>
        </w:rPr>
        <w:t xml:space="preserve">4Cs</w:t>
      </w:r>
      <w:r>
        <w:t xml:space="preserve"> </w:t>
      </w:r>
      <w:r>
        <w:t xml:space="preserve">dengan ketiga jalur organisasional menjadi resep terpadu untuk</w:t>
      </w:r>
      <w:r>
        <w:t xml:space="preserve"> </w:t>
      </w:r>
      <w:r>
        <w:rPr>
          <w:i/>
          <w:iCs/>
        </w:rPr>
        <w:t xml:space="preserve">organizational effectiveness</w:t>
      </w:r>
      <w:r>
        <w:t xml:space="preserve">.</w:t>
      </w:r>
    </w:p>
    <w:p>
      <w:pPr>
        <w:pStyle w:val="BodyText"/>
      </w:pPr>
      <w:r>
        <w:rPr>
          <w:b/>
          <w:bCs/>
        </w:rPr>
        <w:t xml:space="preserve">Catatan pivot — konflasi</w:t>
      </w:r>
      <w:r>
        <w:rPr>
          <w:b/>
          <w:bCs/>
        </w:rPr>
        <w:t xml:space="preserve"> </w:t>
      </w:r>
      <w:r>
        <w:rPr>
          <w:b/>
          <w:bCs/>
          <w:i/>
          <w:iCs/>
        </w:rPr>
        <w:t xml:space="preserve">sustainability</w:t>
      </w:r>
      <w:r>
        <w:rPr>
          <w:b/>
          <w:bCs/>
        </w:rPr>
        <w:t xml:space="preserve"> </w:t>
      </w:r>
      <w:r>
        <w:rPr>
          <w:b/>
          <w:bCs/>
        </w:rPr>
        <w:t xml:space="preserve">dan</w:t>
      </w:r>
      <w:r>
        <w:rPr>
          <w:b/>
          <w:bCs/>
        </w:rPr>
        <w:t xml:space="preserve"> </w:t>
      </w:r>
      <w:r>
        <w:rPr>
          <w:b/>
          <w:bCs/>
          <w:i/>
          <w:iCs/>
        </w:rPr>
        <w:t xml:space="preserve">sustained competitive advantage</w:t>
      </w:r>
      <w:r>
        <w:rPr>
          <w:b/>
          <w:bCs/>
        </w:rPr>
        <w:t xml:space="preserve">:</w:t>
      </w:r>
      <w:r>
        <w:t xml:space="preserve"> </w:t>
      </w:r>
      <w:r>
        <w:t xml:space="preserve">Judul artikel mencantumkan</w:t>
      </w:r>
      <w:r>
        <w:t xml:space="preserve"> </w:t>
      </w:r>
      <w:r>
        <w:rPr>
          <w:i/>
          <w:iCs/>
        </w:rPr>
        <w:t xml:space="preserve">sustainability</w:t>
      </w:r>
      <w:r>
        <w:t xml:space="preserve"> </w:t>
      </w:r>
      <w:r>
        <w:t xml:space="preserve">sebagai konsep sentral, tetapi konseptualisasi penulis di seluruh tubuh artikel sebenarnya merujuk pada</w:t>
      </w:r>
      <w:r>
        <w:t xml:space="preserve"> </w:t>
      </w:r>
      <w:r>
        <w:rPr>
          <w:i/>
          <w:iCs/>
        </w:rPr>
        <w:t xml:space="preserve">sustained competitive advantage</w:t>
      </w:r>
      <w:r>
        <w:t xml:space="preserve"> </w:t>
      </w:r>
      <w:r>
        <w:t xml:space="preserve">dalam tradisi Porter (1985, hlm. 198) —</w:t>
      </w:r>
      <w:r>
        <w:t xml:space="preserve"> </w:t>
      </w:r>
      <w:r>
        <w:rPr>
          <w:i/>
          <w:iCs/>
        </w:rPr>
        <w:t xml:space="preserve">“A firm is said to have a sustainable competitive advantage when it is implementing a value creating strategy not simultaneously being implemented by any current or potential competitors and when these other firms are unable to duplicate the benefits of this strategy.”</w:t>
      </w:r>
      <w:r>
        <w:t xml:space="preserve"> </w:t>
      </w:r>
      <w:r>
        <w:t xml:space="preserve">Artikel ini</w:t>
      </w:r>
      <w:r>
        <w:t xml:space="preserve"> </w:t>
      </w:r>
      <w:r>
        <w:rPr>
          <w:b/>
          <w:bCs/>
        </w:rPr>
        <w:t xml:space="preserve">tidak</w:t>
      </w:r>
      <w:r>
        <w:t xml:space="preserve"> </w:t>
      </w:r>
      <w:r>
        <w:t xml:space="preserve">menggunakan kerangka</w:t>
      </w:r>
      <w:r>
        <w:t xml:space="preserve"> </w:t>
      </w:r>
      <w:r>
        <w:rPr>
          <w:i/>
          <w:iCs/>
        </w:rPr>
        <w:t xml:space="preserve">triple bottom line</w:t>
      </w:r>
      <w:r>
        <w:t xml:space="preserve"> </w:t>
      </w:r>
      <w:r>
        <w:t xml:space="preserve">dari Elkington (1997 — referensi yang tidak ada dalam daftar pustaka artikel ini),</w:t>
      </w:r>
      <w:r>
        <w:t xml:space="preserve"> </w:t>
      </w:r>
      <w:r>
        <w:rPr>
          <w:i/>
          <w:iCs/>
        </w:rPr>
        <w:t xml:space="preserve">natural-resource-based view</w:t>
      </w:r>
      <w:r>
        <w:t xml:space="preserve"> </w:t>
      </w:r>
      <w:r>
        <w:t xml:space="preserve">dari Hart (1995 — juga tidak dirujuk), maupun</w:t>
      </w:r>
      <w:r>
        <w:t xml:space="preserve"> </w:t>
      </w:r>
      <w:r>
        <w:rPr>
          <w:i/>
          <w:iCs/>
        </w:rPr>
        <w:t xml:space="preserve">shared value</w:t>
      </w:r>
      <w:r>
        <w:t xml:space="preserve"> </w:t>
      </w:r>
      <w:r>
        <w:t xml:space="preserve">dari Porter dan Kramer (2006 — tidak dirujuk). Konflasi terminologis ini bukan sekadar persoalan kosakata; ia membentuk seluruh pembacaan artikel. Pembaca yang mengharapkan analisis</w:t>
      </w:r>
      <w:r>
        <w:t xml:space="preserve"> </w:t>
      </w:r>
      <w:r>
        <w:rPr>
          <w:i/>
          <w:iCs/>
        </w:rPr>
        <w:t xml:space="preserve">environmental-social-economic sustainability</w:t>
      </w:r>
      <w:r>
        <w:t xml:space="preserve"> </w:t>
      </w:r>
      <w:r>
        <w:t xml:space="preserve">akan kecewa, karena artikel ini sebenarnya membahas</w:t>
      </w:r>
      <w:r>
        <w:t xml:space="preserve"> </w:t>
      </w:r>
      <w:r>
        <w:rPr>
          <w:i/>
          <w:iCs/>
        </w:rPr>
        <w:t xml:space="preserve">competitive advantage durability</w:t>
      </w:r>
      <w:r>
        <w:t xml:space="preserve">. Isu ini akan dieksplorasi lebih dalam pada §6 dan §7.</w:t>
      </w:r>
    </w:p>
    <w:p>
      <w:pPr>
        <w:pStyle w:val="CaptionedFigure"/>
      </w:pPr>
      <w:r>
        <w:drawing>
          <wp:inline>
            <wp:extent cx="5791200" cy="3958131"/>
            <wp:effectExtent b="0" l="0" r="0" t="0"/>
            <wp:docPr descr="Tabel 1. Assessment of 4Cs as Against Organizational Effectiveness" title="" id="20" name="Picture"/>
            <a:graphic>
              <a:graphicData uri="http://schemas.openxmlformats.org/drawingml/2006/picture">
                <pic:pic>
                  <pic:nvPicPr>
                    <pic:cNvPr descr="D:/DZAKI/S2/Sem.%201/Manajemen%20Strategik/Dev%20Assistant/temp/ch8_figures/art12_table_1.png" id="21" name="Picture"/>
                    <pic:cNvPicPr>
                      <a:picLocks noChangeArrowheads="1" noChangeAspect="1"/>
                    </pic:cNvPicPr>
                  </pic:nvPicPr>
                  <pic:blipFill>
                    <a:blip r:embed="rId19"/>
                    <a:stretch>
                      <a:fillRect/>
                    </a:stretch>
                  </pic:blipFill>
                  <pic:spPr bwMode="auto">
                    <a:xfrm>
                      <a:off x="0" y="0"/>
                      <a:ext cx="5791200" cy="3958131"/>
                    </a:xfrm>
                    <a:prstGeom prst="rect">
                      <a:avLst/>
                    </a:prstGeom>
                    <a:noFill/>
                    <a:ln w="9525">
                      <a:noFill/>
                      <a:headEnd/>
                      <a:tailEnd/>
                    </a:ln>
                  </pic:spPr>
                </pic:pic>
              </a:graphicData>
            </a:graphic>
          </wp:inline>
        </w:drawing>
      </w:r>
    </w:p>
    <w:p>
      <w:pPr>
        <w:pStyle w:val="ImageCaption"/>
      </w:pPr>
      <w:r>
        <w:rPr>
          <w:i/>
          <w:iCs/>
        </w:rPr>
        <w:t xml:space="preserve">Tabel 1. Assessment of 4Cs as Against Organizational Effectiveness</w:t>
      </w:r>
    </w:p>
    <w:p>
      <w:pPr>
        <w:pStyle w:val="BodyText"/>
      </w:pPr>
      <w:r>
        <w:rPr>
          <w:i/>
          <w:iCs/>
        </w:rPr>
        <w:t xml:space="preserve">Sumber: Okebaram &amp; Onuoha (2018), hlm. 200</w:t>
      </w:r>
    </w:p>
    <w:p>
      <w:pPr>
        <w:pStyle w:val="BodyText"/>
      </w:pPr>
      <w:r>
        <w:t xml:space="preserve">Tabel 1 adalah eksibit empiris terpenting artikel — operasionalisasi</w:t>
      </w:r>
      <w:r>
        <w:t xml:space="preserve"> </w:t>
      </w:r>
      <w:r>
        <w:rPr>
          <w:i/>
          <w:iCs/>
        </w:rPr>
        <w:t xml:space="preserve">4Cs</w:t>
      </w:r>
      <w:r>
        <w:t xml:space="preserve"> </w:t>
      </w:r>
      <w:r>
        <w:t xml:space="preserve">(</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terhadap tiga konstruk dependent (</w:t>
      </w:r>
      <w:r>
        <w:rPr>
          <w:i/>
          <w:iCs/>
        </w:rPr>
        <w:t xml:space="preserve">Organization Design</w:t>
      </w:r>
      <w:r>
        <w:t xml:space="preserve">,</w:t>
      </w:r>
      <w:r>
        <w:t xml:space="preserve"> </w:t>
      </w:r>
      <w:r>
        <w:rPr>
          <w:i/>
          <w:iCs/>
        </w:rPr>
        <w:t xml:space="preserve">Employee Relations</w:t>
      </w:r>
      <w:r>
        <w:t xml:space="preserve">,</w:t>
      </w:r>
      <w:r>
        <w:t xml:space="preserve"> </w:t>
      </w:r>
      <w:r>
        <w:rPr>
          <w:i/>
          <w:iCs/>
        </w:rPr>
        <w:t xml:space="preserve">Information Exchange</w:t>
      </w:r>
      <w:r>
        <w:t xml:space="preserve">) untuk N = 212 responden. Pola frekuensi dan persentase yang dilaporkan menjadi dasar bagi ketiga uji hipotesis berikutnya, dan akan menjadi sasaran kritik metodologis pada §6 — terutama soal validitas konstruk dan penyusunan rangsangan</w:t>
      </w:r>
      <w:r>
        <w:t xml:space="preserve"> </w:t>
      </w:r>
      <w:r>
        <w:rPr>
          <w:i/>
          <w:iCs/>
        </w:rPr>
        <w:t xml:space="preserve">Likert</w:t>
      </w:r>
      <w:r>
        <w:t xml:space="preserve"> </w:t>
      </w:r>
      <w:r>
        <w:t xml:space="preserve">yang tidak didukung</w:t>
      </w:r>
      <w:r>
        <w:t xml:space="preserve"> </w:t>
      </w:r>
      <w:r>
        <w:rPr>
          <w:i/>
          <w:iCs/>
        </w:rPr>
        <w:t xml:space="preserve">factor analysis</w:t>
      </w:r>
      <w:r>
        <w:t xml:space="preserve">.</w:t>
      </w:r>
    </w:p>
    <w:p>
      <w:pPr>
        <w:pStyle w:val="BodyText"/>
      </w:pPr>
      <w:r>
        <w:t xml:space="preserve">Penyajian temuan empiris artikel berlanjut dengan tiga tabel distribusi frekuensi (satu untuk masing-masing hipotesis) yang dipasangkan dengan output uji</w:t>
      </w:r>
      <w:r>
        <w:t xml:space="preserve"> </w:t>
      </w:r>
      <w:r>
        <w:rPr>
          <w:i/>
          <w:iCs/>
        </w:rPr>
        <w:t xml:space="preserve">One-Sample Kolmogorov-Smirnov</w:t>
      </w:r>
      <w:r>
        <w:t xml:space="preserve"> </w:t>
      </w:r>
      <w:r>
        <w:t xml:space="preserve">sebagai dasar keputusan tolak/terima H₀.</w:t>
      </w:r>
    </w:p>
    <w:p>
      <w:pPr>
        <w:pStyle w:val="CaptionedFigure"/>
      </w:pPr>
      <w:r>
        <w:drawing>
          <wp:inline>
            <wp:extent cx="5791200" cy="8056851"/>
            <wp:effectExtent b="0" l="0" r="0" t="0"/>
            <wp:docPr descr="Tabel 2. To Ascertain if Strategic Organization Design Can Enhance Organizational Effectiveness (H1 — Frequency Distribution)" title="" id="23" name="Picture"/>
            <a:graphic>
              <a:graphicData uri="http://schemas.openxmlformats.org/drawingml/2006/picture">
                <pic:pic>
                  <pic:nvPicPr>
                    <pic:cNvPr descr="D:/DZAKI/S2/Sem.%201/Manajemen%20Strategik/Dev%20Assistant/temp/ch8_figures/art12_table_2.png" id="24" name="Picture"/>
                    <pic:cNvPicPr>
                      <a:picLocks noChangeArrowheads="1" noChangeAspect="1"/>
                    </pic:cNvPicPr>
                  </pic:nvPicPr>
                  <pic:blipFill>
                    <a:blip r:embed="rId22"/>
                    <a:stretch>
                      <a:fillRect/>
                    </a:stretch>
                  </pic:blipFill>
                  <pic:spPr bwMode="auto">
                    <a:xfrm>
                      <a:off x="0" y="0"/>
                      <a:ext cx="5791200" cy="8056851"/>
                    </a:xfrm>
                    <a:prstGeom prst="rect">
                      <a:avLst/>
                    </a:prstGeom>
                    <a:noFill/>
                    <a:ln w="9525">
                      <a:noFill/>
                      <a:headEnd/>
                      <a:tailEnd/>
                    </a:ln>
                  </pic:spPr>
                </pic:pic>
              </a:graphicData>
            </a:graphic>
          </wp:inline>
        </w:drawing>
      </w:r>
    </w:p>
    <w:p>
      <w:pPr>
        <w:pStyle w:val="ImageCaption"/>
      </w:pPr>
      <w:r>
        <w:rPr>
          <w:i/>
          <w:iCs/>
        </w:rPr>
        <w:t xml:space="preserve">Tabel 2. To Ascertain if Strategic Organization Design Can Enhance Organizational Effectiveness (H1 — Frequency Distribution)</w:t>
      </w:r>
    </w:p>
    <w:p>
      <w:pPr>
        <w:pStyle w:val="BodyText"/>
      </w:pPr>
      <w:r>
        <w:rPr>
          <w:i/>
          <w:iCs/>
        </w:rPr>
        <w:t xml:space="preserve">Sumber: Okebaram &amp; Onuoha (2018), hlm. 201</w:t>
      </w:r>
    </w:p>
    <w:p>
      <w:pPr>
        <w:pStyle w:val="CaptionedFigure"/>
      </w:pPr>
      <w:r>
        <w:drawing>
          <wp:inline>
            <wp:extent cx="5791200" cy="7743229"/>
            <wp:effectExtent b="0" l="0" r="0" t="0"/>
            <wp:docPr descr="Tabel KS — Output Uji One-Sample Kolmogorov-Smirnov untuk H1" title="" id="26" name="Picture"/>
            <a:graphic>
              <a:graphicData uri="http://schemas.openxmlformats.org/drawingml/2006/picture">
                <pic:pic>
                  <pic:nvPicPr>
                    <pic:cNvPr descr="D:/DZAKI/S2/Sem.%201/Manajemen%20Strategik/Dev%20Assistant/temp/ch8_figures/art12_ks_h1.png" id="27" name="Picture"/>
                    <pic:cNvPicPr>
                      <a:picLocks noChangeArrowheads="1" noChangeAspect="1"/>
                    </pic:cNvPicPr>
                  </pic:nvPicPr>
                  <pic:blipFill>
                    <a:blip r:embed="rId25"/>
                    <a:stretch>
                      <a:fillRect/>
                    </a:stretch>
                  </pic:blipFill>
                  <pic:spPr bwMode="auto">
                    <a:xfrm>
                      <a:off x="0" y="0"/>
                      <a:ext cx="5791200" cy="7743229"/>
                    </a:xfrm>
                    <a:prstGeom prst="rect">
                      <a:avLst/>
                    </a:prstGeom>
                    <a:noFill/>
                    <a:ln w="9525">
                      <a:noFill/>
                      <a:headEnd/>
                      <a:tailEnd/>
                    </a:ln>
                  </pic:spPr>
                </pic:pic>
              </a:graphicData>
            </a:graphic>
          </wp:inline>
        </w:drawing>
      </w:r>
    </w:p>
    <w:p>
      <w:pPr>
        <w:pStyle w:val="ImageCaption"/>
      </w:pPr>
      <w:r>
        <w:rPr>
          <w:i/>
          <w:iCs/>
        </w:rPr>
        <w:t xml:space="preserve">Tabel KS — Output Uji One-Sample Kolmogorov-Smirnov untuk H1</w:t>
      </w:r>
    </w:p>
    <w:p>
      <w:pPr>
        <w:pStyle w:val="BodyText"/>
      </w:pPr>
      <w:r>
        <w:rPr>
          <w:i/>
          <w:iCs/>
        </w:rPr>
        <w:t xml:space="preserve">Sumber: Okebaram &amp; Onuoha (2018), hlm. 202</w:t>
      </w:r>
    </w:p>
    <w:p>
      <w:pPr>
        <w:pStyle w:val="BodyText"/>
      </w:pPr>
      <w:r>
        <w:t xml:space="preserve">Tabel 2 menyajikan distribusi Likert untuk H1 (Mean = 3,78; SD = 1,16) dan tabel KS yang menyertainya melaporkan Z = 5,342 dengan p = 0,000. Penulis menyimpulkan H₀1 ditolak — strategic organization design berkontribusi pada organizational effectiveness.</w:t>
      </w:r>
      <w:r>
        <w:t xml:space="preserve"> </w:t>
      </w:r>
      <w:r>
        <w:rPr>
          <w:b/>
          <w:bCs/>
        </w:rPr>
        <w:t xml:space="preserve">Catatan kritis yang akan diperdalam pada §6:</w:t>
      </w:r>
      <w:r>
        <w:t xml:space="preserve"> </w:t>
      </w:r>
      <w:r>
        <w:t xml:space="preserve">prosedur uji yang dipakai sebenarnya menguji normalitas distribusi, bukan hipotesis tentang mean.</w:t>
      </w:r>
    </w:p>
    <w:p>
      <w:pPr>
        <w:pStyle w:val="CaptionedFigure"/>
      </w:pPr>
      <w:r>
        <w:drawing>
          <wp:inline>
            <wp:extent cx="5791200" cy="8056851"/>
            <wp:effectExtent b="0" l="0" r="0" t="0"/>
            <wp:docPr descr="Tabel 3. To Determine the Extent Strategic Fit Can Sustain Employee Relations to Boost Organizational Effectiveness (H2 — Frequency Distribution)" title="" id="29" name="Picture"/>
            <a:graphic>
              <a:graphicData uri="http://schemas.openxmlformats.org/drawingml/2006/picture">
                <pic:pic>
                  <pic:nvPicPr>
                    <pic:cNvPr descr="D:/DZAKI/S2/Sem.%201/Manajemen%20Strategik/Dev%20Assistant/temp/ch8_figures/art12_table_3.png" id="30" name="Picture"/>
                    <pic:cNvPicPr>
                      <a:picLocks noChangeArrowheads="1" noChangeAspect="1"/>
                    </pic:cNvPicPr>
                  </pic:nvPicPr>
                  <pic:blipFill>
                    <a:blip r:embed="rId28"/>
                    <a:stretch>
                      <a:fillRect/>
                    </a:stretch>
                  </pic:blipFill>
                  <pic:spPr bwMode="auto">
                    <a:xfrm>
                      <a:off x="0" y="0"/>
                      <a:ext cx="5791200" cy="8056851"/>
                    </a:xfrm>
                    <a:prstGeom prst="rect">
                      <a:avLst/>
                    </a:prstGeom>
                    <a:noFill/>
                    <a:ln w="9525">
                      <a:noFill/>
                      <a:headEnd/>
                      <a:tailEnd/>
                    </a:ln>
                  </pic:spPr>
                </pic:pic>
              </a:graphicData>
            </a:graphic>
          </wp:inline>
        </w:drawing>
      </w:r>
    </w:p>
    <w:p>
      <w:pPr>
        <w:pStyle w:val="ImageCaption"/>
      </w:pPr>
      <w:r>
        <w:rPr>
          <w:i/>
          <w:iCs/>
        </w:rPr>
        <w:t xml:space="preserve">Tabel 3. To Determine the Extent Strategic Fit Can Sustain Employee Relations to Boost Organizational Effectiveness (H2 — Frequency Distribution)</w:t>
      </w:r>
    </w:p>
    <w:p>
      <w:pPr>
        <w:pStyle w:val="BodyText"/>
      </w:pPr>
      <w:r>
        <w:rPr>
          <w:i/>
          <w:iCs/>
        </w:rPr>
        <w:t xml:space="preserve">Sumber: Okebaram &amp; Onuoha (2018), hlm. 203</w:t>
      </w:r>
    </w:p>
    <w:p>
      <w:pPr>
        <w:pStyle w:val="CaptionedFigure"/>
      </w:pPr>
      <w:r>
        <w:drawing>
          <wp:inline>
            <wp:extent cx="5791200" cy="7743229"/>
            <wp:effectExtent b="0" l="0" r="0" t="0"/>
            <wp:docPr descr="Tabel KS — Output Uji One-Sample Kolmogorov-Smirnov untuk H2" title="" id="32" name="Picture"/>
            <a:graphic>
              <a:graphicData uri="http://schemas.openxmlformats.org/drawingml/2006/picture">
                <pic:pic>
                  <pic:nvPicPr>
                    <pic:cNvPr descr="D:/DZAKI/S2/Sem.%201/Manajemen%20Strategik/Dev%20Assistant/temp/ch8_figures/art12_ks_h2.png" id="33" name="Picture"/>
                    <pic:cNvPicPr>
                      <a:picLocks noChangeArrowheads="1" noChangeAspect="1"/>
                    </pic:cNvPicPr>
                  </pic:nvPicPr>
                  <pic:blipFill>
                    <a:blip r:embed="rId31"/>
                    <a:stretch>
                      <a:fillRect/>
                    </a:stretch>
                  </pic:blipFill>
                  <pic:spPr bwMode="auto">
                    <a:xfrm>
                      <a:off x="0" y="0"/>
                      <a:ext cx="5791200" cy="7743229"/>
                    </a:xfrm>
                    <a:prstGeom prst="rect">
                      <a:avLst/>
                    </a:prstGeom>
                    <a:noFill/>
                    <a:ln w="9525">
                      <a:noFill/>
                      <a:headEnd/>
                      <a:tailEnd/>
                    </a:ln>
                  </pic:spPr>
                </pic:pic>
              </a:graphicData>
            </a:graphic>
          </wp:inline>
        </w:drawing>
      </w:r>
    </w:p>
    <w:p>
      <w:pPr>
        <w:pStyle w:val="ImageCaption"/>
      </w:pPr>
      <w:r>
        <w:rPr>
          <w:i/>
          <w:iCs/>
        </w:rPr>
        <w:t xml:space="preserve">Tabel KS — Output Uji One-Sample Kolmogorov-Smirnov untuk H2</w:t>
      </w:r>
    </w:p>
    <w:p>
      <w:pPr>
        <w:pStyle w:val="BodyText"/>
      </w:pPr>
      <w:r>
        <w:rPr>
          <w:i/>
          <w:iCs/>
        </w:rPr>
        <w:t xml:space="preserve">Sumber: Okebaram &amp; Onuoha (2018), hlm. 204</w:t>
      </w:r>
    </w:p>
    <w:p>
      <w:pPr>
        <w:pStyle w:val="BodyText"/>
      </w:pPr>
      <w:r>
        <w:t xml:space="preserve">Tabel 3 melaporkan distribusi Likert untuk H2 (Mean = 3,88; SD = 0,97); tabel KS-nya menunjukkan Z = 5,677 dengan p = 0,000. Penulis menolak H₀2 dengan kesimpulan strategic fit mempertahankan employee relations dan pada gilirannya meningkatkan effectiveness.</w:t>
      </w:r>
    </w:p>
    <w:p>
      <w:pPr>
        <w:pStyle w:val="CaptionedFigure"/>
      </w:pPr>
      <w:r>
        <w:drawing>
          <wp:inline>
            <wp:extent cx="5791200" cy="8056851"/>
            <wp:effectExtent b="0" l="0" r="0" t="0"/>
            <wp:docPr descr="Tabel 4. To Establish the Extent Strategic Fit Can Boost Effective Information Exchange to Improve Organizational Effectiveness (H3 — Frequency Distribution)" title="" id="35" name="Picture"/>
            <a:graphic>
              <a:graphicData uri="http://schemas.openxmlformats.org/drawingml/2006/picture">
                <pic:pic>
                  <pic:nvPicPr>
                    <pic:cNvPr descr="D:/DZAKI/S2/Sem.%201/Manajemen%20Strategik/Dev%20Assistant/temp/ch8_figures/art12_table_4.png" id="36" name="Picture"/>
                    <pic:cNvPicPr>
                      <a:picLocks noChangeArrowheads="1" noChangeAspect="1"/>
                    </pic:cNvPicPr>
                  </pic:nvPicPr>
                  <pic:blipFill>
                    <a:blip r:embed="rId34"/>
                    <a:stretch>
                      <a:fillRect/>
                    </a:stretch>
                  </pic:blipFill>
                  <pic:spPr bwMode="auto">
                    <a:xfrm>
                      <a:off x="0" y="0"/>
                      <a:ext cx="5791200" cy="8056851"/>
                    </a:xfrm>
                    <a:prstGeom prst="rect">
                      <a:avLst/>
                    </a:prstGeom>
                    <a:noFill/>
                    <a:ln w="9525">
                      <a:noFill/>
                      <a:headEnd/>
                      <a:tailEnd/>
                    </a:ln>
                  </pic:spPr>
                </pic:pic>
              </a:graphicData>
            </a:graphic>
          </wp:inline>
        </w:drawing>
      </w:r>
    </w:p>
    <w:p>
      <w:pPr>
        <w:pStyle w:val="ImageCaption"/>
      </w:pPr>
      <w:r>
        <w:rPr>
          <w:i/>
          <w:iCs/>
        </w:rPr>
        <w:t xml:space="preserve">Tabel 4. To Establish the Extent Strategic Fit Can Boost Effective Information Exchange to Improve Organizational Effectiveness (H3 — Frequency Distribution)</w:t>
      </w:r>
    </w:p>
    <w:p>
      <w:pPr>
        <w:pStyle w:val="BodyText"/>
      </w:pPr>
      <w:r>
        <w:rPr>
          <w:i/>
          <w:iCs/>
        </w:rPr>
        <w:t xml:space="preserve">Sumber: Okebaram &amp; Onuoha (2018), hlm. 205</w:t>
      </w:r>
    </w:p>
    <w:p>
      <w:pPr>
        <w:pStyle w:val="CaptionedFigure"/>
      </w:pPr>
      <w:r>
        <w:drawing>
          <wp:inline>
            <wp:extent cx="5791200" cy="7743229"/>
            <wp:effectExtent b="0" l="0" r="0" t="0"/>
            <wp:docPr descr="Tabel KS — Output Uji One-Sample Kolmogorov-Smirnov untuk H3" title="" id="38" name="Picture"/>
            <a:graphic>
              <a:graphicData uri="http://schemas.openxmlformats.org/drawingml/2006/picture">
                <pic:pic>
                  <pic:nvPicPr>
                    <pic:cNvPr descr="D:/DZAKI/S2/Sem.%201/Manajemen%20Strategik/Dev%20Assistant/temp/ch8_figures/art12_ks_h3.png" id="39" name="Picture"/>
                    <pic:cNvPicPr>
                      <a:picLocks noChangeArrowheads="1" noChangeAspect="1"/>
                    </pic:cNvPicPr>
                  </pic:nvPicPr>
                  <pic:blipFill>
                    <a:blip r:embed="rId37"/>
                    <a:stretch>
                      <a:fillRect/>
                    </a:stretch>
                  </pic:blipFill>
                  <pic:spPr bwMode="auto">
                    <a:xfrm>
                      <a:off x="0" y="0"/>
                      <a:ext cx="5791200" cy="7743229"/>
                    </a:xfrm>
                    <a:prstGeom prst="rect">
                      <a:avLst/>
                    </a:prstGeom>
                    <a:noFill/>
                    <a:ln w="9525">
                      <a:noFill/>
                      <a:headEnd/>
                      <a:tailEnd/>
                    </a:ln>
                  </pic:spPr>
                </pic:pic>
              </a:graphicData>
            </a:graphic>
          </wp:inline>
        </w:drawing>
      </w:r>
    </w:p>
    <w:p>
      <w:pPr>
        <w:pStyle w:val="ImageCaption"/>
      </w:pPr>
      <w:r>
        <w:rPr>
          <w:i/>
          <w:iCs/>
        </w:rPr>
        <w:t xml:space="preserve">Tabel KS — Output Uji One-Sample Kolmogorov-Smirnov untuk H3</w:t>
      </w:r>
    </w:p>
    <w:p>
      <w:pPr>
        <w:pStyle w:val="BodyText"/>
      </w:pPr>
      <w:r>
        <w:rPr>
          <w:i/>
          <w:iCs/>
        </w:rPr>
        <w:t xml:space="preserve">Sumber: Okebaram &amp; Onuoha (2018), hlm. 206</w:t>
      </w:r>
    </w:p>
    <w:p>
      <w:pPr>
        <w:pStyle w:val="BodyText"/>
      </w:pPr>
      <w:r>
        <w:t xml:space="preserve">Tabel 4 menyajikan distribusi Likert untuk H3 (Mean = 4,07; SD = 0,64 — distribusi tersempit dari ketiga hipotesis); KS Z = 5,745 dengan p = 0,000. Penulis menolak H₀3 — strategic fit meningkatkan information exchange dan effectiveness.</w:t>
      </w:r>
    </w:p>
    <w:bookmarkEnd w:id="40"/>
    <w:bookmarkEnd w:id="41"/>
    <w:bookmarkStart w:id="44" w:name="koneksi-ke-topik-silabus-pertemuan-7"/>
    <w:p>
      <w:pPr>
        <w:pStyle w:val="Heading2"/>
      </w:pPr>
      <w:r>
        <w:t xml:space="preserve">§4 Koneksi ke Topik Silabus (Pertemuan 7)</w:t>
      </w:r>
    </w:p>
    <w:bookmarkStart w:id="42" w:name="X61dea7c70ba8991b81a8fdeabd854ba9b5346c8"/>
    <w:p>
      <w:pPr>
        <w:pStyle w:val="Heading3"/>
      </w:pPr>
      <w:r>
        <w:t xml:space="preserve">4Cs sebagai Operasionalisasi Strategic Fit di Level Multibusiness/Alliance</w:t>
      </w:r>
    </w:p>
    <w:p>
      <w:pPr>
        <w:pStyle w:val="FirstParagraph"/>
      </w:pPr>
      <w:r>
        <w:t xml:space="preserve">Pertemuan 7 dalam MST304 membahas</w:t>
      </w:r>
      <w:r>
        <w:t xml:space="preserve"> </w:t>
      </w:r>
      <w:r>
        <w:rPr>
          <w:i/>
          <w:iCs/>
        </w:rPr>
        <w:t xml:space="preserve">Corporate Strategy: Diversification and the Multibusiness Company</w:t>
      </w:r>
      <w:r>
        <w:t xml:space="preserve"> </w:t>
      </w:r>
      <w:r>
        <w:t xml:space="preserve">berdasarkan TPGS Ch.8. Fokus utama bab tersebut adalah</w:t>
      </w:r>
      <w:r>
        <w:t xml:space="preserve"> </w:t>
      </w:r>
      <w:r>
        <w:rPr>
          <w:i/>
          <w:iCs/>
        </w:rPr>
        <w:t xml:space="preserve">cross-business strategic fit</w:t>
      </w:r>
      <w:r>
        <w:t xml:space="preserve"> </w:t>
      </w:r>
      <w:r>
        <w:t xml:space="preserve">di level korporat — bagaimana unit-unit bisnis terdiversifikasi dapat saling berbagi sumber daya,</w:t>
      </w:r>
      <w:r>
        <w:t xml:space="preserve"> </w:t>
      </w:r>
      <w:r>
        <w:rPr>
          <w:i/>
          <w:iCs/>
        </w:rPr>
        <w:t xml:space="preserve">value chain</w:t>
      </w:r>
      <w:r>
        <w:t xml:space="preserve">, kapabilitas, dan</w:t>
      </w:r>
      <w:r>
        <w:t xml:space="preserve"> </w:t>
      </w:r>
      <w:r>
        <w:rPr>
          <w:i/>
          <w:iCs/>
        </w:rPr>
        <w:t xml:space="preserve">brand</w:t>
      </w:r>
      <w:r>
        <w:t xml:space="preserve"> </w:t>
      </w:r>
      <w:r>
        <w:t xml:space="preserve">untuk menciptakan sinergi yang melebihi penjumlahan unit independen. Okebaram dan Onuoha (2018) tidak membahas tes diversifikasi atau pengukuran sinergi secara langsung, tetapi menyediakan operasionalisasi yang lebih granular untuk konsep</w:t>
      </w:r>
      <w:r>
        <w:t xml:space="preserve"> </w:t>
      </w:r>
      <w:r>
        <w:rPr>
          <w:i/>
          <w:iCs/>
        </w:rPr>
        <w:t xml:space="preserve">fit</w:t>
      </w:r>
      <w:r>
        <w:t xml:space="preserve"> </w:t>
      </w:r>
      <w:r>
        <w:t xml:space="preserve">itu sendiri melalui kerangka</w:t>
      </w:r>
      <w:r>
        <w:t xml:space="preserve"> </w:t>
      </w:r>
      <w:r>
        <w:rPr>
          <w:i/>
          <w:iCs/>
        </w:rPr>
        <w:t xml:space="preserve">4Cs</w:t>
      </w:r>
      <w:r>
        <w:t xml:space="preserve">. Dengan kata lain, ketika TPGS Ch.8 menyatakan bahwa</w:t>
      </w:r>
      <w:r>
        <w:t xml:space="preserve"> </w:t>
      </w:r>
      <w:r>
        <w:rPr>
          <w:i/>
          <w:iCs/>
        </w:rPr>
        <w:t xml:space="preserve">better-off test</w:t>
      </w:r>
      <w:r>
        <w:t xml:space="preserve"> </w:t>
      </w:r>
      <w:r>
        <w:t xml:space="preserve">menuntut adanya</w:t>
      </w:r>
      <w:r>
        <w:t xml:space="preserve"> </w:t>
      </w:r>
      <w:r>
        <w:rPr>
          <w:i/>
          <w:iCs/>
        </w:rPr>
        <w:t xml:space="preserve">strategic fit</w:t>
      </w:r>
      <w:r>
        <w:t xml:space="preserve"> </w:t>
      </w:r>
      <w:r>
        <w:t xml:space="preserve">antara unit-unit bisnis baru dan portofolio yang sudah ada,</w:t>
      </w:r>
      <w:r>
        <w:t xml:space="preserve"> </w:t>
      </w:r>
      <w:r>
        <w:rPr>
          <w:i/>
          <w:iCs/>
        </w:rPr>
        <w:t xml:space="preserve">4Cs</w:t>
      </w:r>
      <w:r>
        <w:t xml:space="preserve"> </w:t>
      </w:r>
      <w:r>
        <w:t xml:space="preserve">dari Medcof (1997) menyediakan kosakata diagnostik untuk menilai</w:t>
      </w:r>
      <w:r>
        <w:t xml:space="preserve"> </w:t>
      </w:r>
      <w:r>
        <w:rPr>
          <w:i/>
          <w:iCs/>
        </w:rPr>
        <w:t xml:space="preserve">fit</w:t>
      </w:r>
      <w:r>
        <w:t xml:space="preserve"> </w:t>
      </w:r>
      <w:r>
        <w:t xml:space="preserve">tersebut — sebuah</w:t>
      </w:r>
      <w:r>
        <w:t xml:space="preserve"> </w:t>
      </w:r>
      <w:r>
        <w:rPr>
          <w:i/>
          <w:iCs/>
        </w:rPr>
        <w:t xml:space="preserve">checklist</w:t>
      </w:r>
      <w:r>
        <w:t xml:space="preserve"> </w:t>
      </w:r>
      <w:r>
        <w:t xml:space="preserve">operasional yang dapat digunakan oleh komite akuisisi atau</w:t>
      </w:r>
      <w:r>
        <w:t xml:space="preserve"> </w:t>
      </w:r>
      <w:r>
        <w:rPr>
          <w:i/>
          <w:iCs/>
        </w:rPr>
        <w:t xml:space="preserve">post-merger integration team</w:t>
      </w:r>
      <w:r>
        <w:t xml:space="preserve">. Pada konteks M&amp;A dan</w:t>
      </w:r>
      <w:r>
        <w:t xml:space="preserve"> </w:t>
      </w:r>
      <w:r>
        <w:rPr>
          <w:i/>
          <w:iCs/>
        </w:rPr>
        <w:t xml:space="preserve">strategic alliance</w:t>
      </w:r>
      <w:r>
        <w:t xml:space="preserve">, di mana keempat dimensi</w:t>
      </w:r>
      <w:r>
        <w:t xml:space="preserve"> </w:t>
      </w:r>
      <w:r>
        <w:rPr>
          <w:i/>
          <w:iCs/>
        </w:rPr>
        <w:t xml:space="preserve">4Cs</w:t>
      </w:r>
      <w:r>
        <w:t xml:space="preserve"> </w:t>
      </w:r>
      <w:r>
        <w:t xml:space="preserve">paling kritis menentukan keberhasilan pasca-integrasi, kerangka ini secara langsung menempel pada agenda TPGS Ch.8.</w:t>
      </w:r>
      <w:r>
        <w:t xml:space="preserve"> </w:t>
      </w:r>
      <w:r>
        <w:rPr>
          <w:i/>
          <w:iCs/>
        </w:rPr>
        <w:t xml:space="preserve">4Cs</w:t>
      </w:r>
      <w:r>
        <w:t xml:space="preserve"> </w:t>
      </w:r>
      <w:r>
        <w:t xml:space="preserve">dapat dilihat sebagai</w:t>
      </w:r>
      <w:r>
        <w:t xml:space="preserve"> </w:t>
      </w:r>
      <w:r>
        <w:rPr>
          <w:i/>
          <w:iCs/>
        </w:rPr>
        <w:t xml:space="preserve">micro-foundation</w:t>
      </w:r>
      <w:r>
        <w:t xml:space="preserve"> </w:t>
      </w:r>
      <w:r>
        <w:t xml:space="preserve">dari</w:t>
      </w:r>
      <w:r>
        <w:t xml:space="preserve"> </w:t>
      </w:r>
      <w:r>
        <w:rPr>
          <w:i/>
          <w:iCs/>
        </w:rPr>
        <w:t xml:space="preserve">better-off test</w:t>
      </w:r>
      <w:r>
        <w:t xml:space="preserve"> </w:t>
      </w:r>
      <w:r>
        <w:t xml:space="preserve">makro yang dibahas TPGS.</w:t>
      </w:r>
    </w:p>
    <w:bookmarkEnd w:id="42"/>
    <w:bookmarkStart w:id="43" w:name="linking-ke-9-rmk-dan-artikel-11"/>
    <w:p>
      <w:pPr>
        <w:pStyle w:val="Heading3"/>
      </w:pPr>
      <w:r>
        <w:t xml:space="preserve">Linking ke §9 RMK dan Artikel 11</w:t>
      </w:r>
    </w:p>
    <w:p>
      <w:pPr>
        <w:pStyle w:val="FirstParagraph"/>
      </w:pPr>
      <w:r>
        <w:t xml:space="preserve">Sintesis §9 RMK Pertemuan 7 menyusun tiga level</w:t>
      </w:r>
      <w:r>
        <w:t xml:space="preserve"> </w:t>
      </w:r>
      <w:r>
        <w:rPr>
          <w:i/>
          <w:iCs/>
        </w:rPr>
        <w:t xml:space="preserve">strategic fit</w:t>
      </w:r>
      <w:r>
        <w:t xml:space="preserve">. Level 1 adalah</w:t>
      </w:r>
      <w:r>
        <w:t xml:space="preserve"> </w:t>
      </w:r>
      <w:r>
        <w:rPr>
          <w:i/>
          <w:iCs/>
        </w:rPr>
        <w:t xml:space="preserve">cross-business fit</w:t>
      </w:r>
      <w:r>
        <w:t xml:space="preserve"> </w:t>
      </w:r>
      <w:r>
        <w:t xml:space="preserve">— fit di level korporat antar unit bisnis terdiversifikasi (TPGS Ch.8). Level 2 adalah</w:t>
      </w:r>
      <w:r>
        <w:t xml:space="preserve"> </w:t>
      </w:r>
      <w:r>
        <w:rPr>
          <w:i/>
          <w:iCs/>
        </w:rPr>
        <w:t xml:space="preserve">internal business fit</w:t>
      </w:r>
      <w:r>
        <w:t xml:space="preserve"> </w:t>
      </w:r>
      <w:r>
        <w:t xml:space="preserve">— fit di dalam satu unit bisnis antara strategi, HR, dan</w:t>
      </w:r>
      <w:r>
        <w:t xml:space="preserve"> </w:t>
      </w:r>
      <w:r>
        <w:rPr>
          <w:i/>
          <w:iCs/>
        </w:rPr>
        <w:t xml:space="preserve">reward system</w:t>
      </w:r>
      <w:r>
        <w:t xml:space="preserve"> </w:t>
      </w:r>
      <w:r>
        <w:t xml:space="preserve">(Artikel 11, Hsieh &amp; Chen 2011, melalui</w:t>
      </w:r>
      <w:r>
        <w:t xml:space="preserve"> </w:t>
      </w:r>
      <w:r>
        <w:rPr>
          <w:i/>
          <w:iCs/>
        </w:rPr>
        <w:t xml:space="preserve">triad fit</w:t>
      </w:r>
      <w:r>
        <w:t xml:space="preserve">). Level 3 adalah</w:t>
      </w:r>
      <w:r>
        <w:t xml:space="preserve"> </w:t>
      </w:r>
      <w:r>
        <w:rPr>
          <w:i/>
          <w:iCs/>
        </w:rPr>
        <w:t xml:space="preserve">organizational alignment fit</w:t>
      </w:r>
      <w:r>
        <w:t xml:space="preserve"> </w:t>
      </w:r>
      <w:r>
        <w:t xml:space="preserve">— fit yang lebih luas antara</w:t>
      </w:r>
      <w:r>
        <w:t xml:space="preserve"> </w:t>
      </w:r>
      <w:r>
        <w:rPr>
          <w:i/>
          <w:iCs/>
        </w:rPr>
        <w:t xml:space="preserve">strategic fit</w:t>
      </w:r>
      <w:r>
        <w:t xml:space="preserve"> </w:t>
      </w:r>
      <w:r>
        <w:t xml:space="preserve">sebagai konsep dan elemen-elemen desain organisasi yaitu struktur,</w:t>
      </w:r>
      <w:r>
        <w:t xml:space="preserve"> </w:t>
      </w:r>
      <w:r>
        <w:rPr>
          <w:i/>
          <w:iCs/>
        </w:rPr>
        <w:t xml:space="preserve">employee relations</w:t>
      </w:r>
      <w:r>
        <w:t xml:space="preserve">, dan</w:t>
      </w:r>
      <w:r>
        <w:t xml:space="preserve"> </w:t>
      </w:r>
      <w:r>
        <w:rPr>
          <w:i/>
          <w:iCs/>
        </w:rPr>
        <w:t xml:space="preserve">information exchange</w:t>
      </w:r>
      <w:r>
        <w:t xml:space="preserve"> </w:t>
      </w:r>
      <w:r>
        <w:t xml:space="preserve">(Artikel 12, Okebaram &amp; Onuoha 2018, melalui</w:t>
      </w:r>
      <w:r>
        <w:t xml:space="preserve"> </w:t>
      </w:r>
      <w:r>
        <w:rPr>
          <w:i/>
          <w:iCs/>
        </w:rPr>
        <w:t xml:space="preserve">4Cs</w:t>
      </w:r>
      <w:r>
        <w:t xml:space="preserve">). Dengan demikian, Artikel 12 memperluas konsep</w:t>
      </w:r>
      <w:r>
        <w:t xml:space="preserve"> </w:t>
      </w:r>
      <w:r>
        <w:rPr>
          <w:i/>
          <w:iCs/>
        </w:rPr>
        <w:t xml:space="preserve">fit</w:t>
      </w:r>
      <w:r>
        <w:t xml:space="preserve"> </w:t>
      </w:r>
      <w:r>
        <w:t xml:space="preserve">dari</w:t>
      </w:r>
      <w:r>
        <w:t xml:space="preserve"> </w:t>
      </w:r>
      <w:r>
        <w:rPr>
          <w:i/>
          <w:iCs/>
        </w:rPr>
        <w:t xml:space="preserve">intra-business</w:t>
      </w:r>
      <w:r>
        <w:t xml:space="preserve"> </w:t>
      </w:r>
      <w:r>
        <w:t xml:space="preserve">(Artikel 11) ke</w:t>
      </w:r>
      <w:r>
        <w:t xml:space="preserve"> </w:t>
      </w:r>
      <w:r>
        <w:rPr>
          <w:i/>
          <w:iCs/>
        </w:rPr>
        <w:t xml:space="preserve">multi-element organizational design</w:t>
      </w:r>
      <w:r>
        <w:t xml:space="preserve"> </w:t>
      </w:r>
      <w:r>
        <w:t xml:space="preserve">(Artikel 12).</w:t>
      </w:r>
      <w:r>
        <w:t xml:space="preserve"> </w:t>
      </w:r>
      <w:r>
        <w:rPr>
          <w:b/>
          <w:bCs/>
        </w:rPr>
        <w:t xml:space="preserve">Pembagian level ini</w:t>
      </w:r>
      <w:r>
        <w:t xml:space="preserve"> </w:t>
      </w:r>
      <w:r>
        <w:t xml:space="preserve">penting secara pedagogis: pembacaan utuh Pertemuan 7 menuntut tiga lensa sekaligus — TPGS Ch.8 untuk Level 1, Hsieh dan Chen (2011) untuk Level 2, dan Okebaram dan Onuoha (2018) untuk Level 3. Tanpa satu lensa pun di antaranya, kerangka</w:t>
      </w:r>
      <w:r>
        <w:t xml:space="preserve"> </w:t>
      </w:r>
      <w:r>
        <w:rPr>
          <w:i/>
          <w:iCs/>
        </w:rPr>
        <w:t xml:space="preserve">fit</w:t>
      </w:r>
      <w:r>
        <w:t xml:space="preserve"> </w:t>
      </w:r>
      <w:r>
        <w:t xml:space="preserve">yang dibangun mahasiswa akan timpang. Artikel 12, dengan segala keterbatasan metodologisnya, tetap berkontribusi pada pelengkapan kerangka tiga level ini melalui penyediaan</w:t>
      </w:r>
      <w:r>
        <w:t xml:space="preserve"> </w:t>
      </w:r>
      <w:r>
        <w:rPr>
          <w:i/>
          <w:iCs/>
        </w:rPr>
        <w:t xml:space="preserve">4Cs</w:t>
      </w:r>
      <w:r>
        <w:t xml:space="preserve"> </w:t>
      </w:r>
      <w:r>
        <w:t xml:space="preserve">sebagai vocabulary diagnostik di level organisasional terluas.</w:t>
      </w:r>
    </w:p>
    <w:bookmarkEnd w:id="43"/>
    <w:bookmarkEnd w:id="44"/>
    <w:bookmarkStart w:id="48" w:name="kekuatan-artikel"/>
    <w:p>
      <w:pPr>
        <w:pStyle w:val="Heading2"/>
      </w:pPr>
      <w:r>
        <w:t xml:space="preserve">§5 Kekuatan Artikel</w:t>
      </w:r>
    </w:p>
    <w:bookmarkStart w:id="45" w:name="topik-yang-relevan-secara-manajerial"/>
    <w:p>
      <w:pPr>
        <w:pStyle w:val="Heading3"/>
      </w:pPr>
      <w:r>
        <w:t xml:space="preserve">Topik yang Relevan secara Manajerial</w:t>
      </w:r>
    </w:p>
    <w:p>
      <w:pPr>
        <w:pStyle w:val="FirstParagraph"/>
      </w:pPr>
      <w:r>
        <w:t xml:space="preserve">Kekuatan pertama artikel terletak pada relevansi topiknya untuk praktik manajerial. Penulis mengangkat data yang dikutip dari Bamford, Gomes-Casseres, dan Robinson (2004) bahwa tingkat kegagalan M&amp;A berkisar 50–60% — angka yang mengindikasikan bahwa praktik</w:t>
      </w:r>
      <w:r>
        <w:t xml:space="preserve"> </w:t>
      </w:r>
      <w:r>
        <w:rPr>
          <w:i/>
          <w:iCs/>
        </w:rPr>
        <w:t xml:space="preserve">deal-making</w:t>
      </w:r>
      <w:r>
        <w:t xml:space="preserve"> </w:t>
      </w:r>
      <w:r>
        <w:t xml:space="preserve">belum diiringi oleh kerangka diagnostik</w:t>
      </w:r>
      <w:r>
        <w:t xml:space="preserve"> </w:t>
      </w:r>
      <w:r>
        <w:rPr>
          <w:i/>
          <w:iCs/>
        </w:rPr>
        <w:t xml:space="preserve">fit</w:t>
      </w:r>
      <w:r>
        <w:t xml:space="preserve"> </w:t>
      </w:r>
      <w:r>
        <w:t xml:space="preserve">yang cukup ketat. Bagi praktisi M&amp;A — direktur strategi,</w:t>
      </w:r>
      <w:r>
        <w:t xml:space="preserve"> </w:t>
      </w:r>
      <w:r>
        <w:rPr>
          <w:i/>
          <w:iCs/>
        </w:rPr>
        <w:t xml:space="preserve">investment banker</w:t>
      </w:r>
      <w:r>
        <w:t xml:space="preserve">, anggota dewan komisaris yang menyetujui akuisisi — kebutuhan akan</w:t>
      </w:r>
      <w:r>
        <w:t xml:space="preserve"> </w:t>
      </w:r>
      <w:r>
        <w:rPr>
          <w:i/>
          <w:iCs/>
        </w:rPr>
        <w:t xml:space="preserve">checklist</w:t>
      </w:r>
      <w:r>
        <w:t xml:space="preserve"> </w:t>
      </w:r>
      <w:r>
        <w:t xml:space="preserve">diagnostik yang konkret bersifat mendesak.</w:t>
      </w:r>
      <w:r>
        <w:t xml:space="preserve"> </w:t>
      </w:r>
      <w:r>
        <w:rPr>
          <w:i/>
          <w:iCs/>
        </w:rPr>
        <w:t xml:space="preserve">4Cs</w:t>
      </w:r>
      <w:r>
        <w:t xml:space="preserve"> </w:t>
      </w:r>
      <w:r>
        <w:t xml:space="preserve">Medcof (1997) yang dipromosikan penulis menjawab kebutuhan ini dengan empat dimensi yang cukup spesifik untuk diterjemahkan ke pertanyaan</w:t>
      </w:r>
      <w:r>
        <w:t xml:space="preserve"> </w:t>
      </w:r>
      <w:r>
        <w:rPr>
          <w:i/>
          <w:iCs/>
        </w:rPr>
        <w:t xml:space="preserve">due diligence</w:t>
      </w:r>
      <w:r>
        <w:t xml:space="preserve"> </w:t>
      </w:r>
      <w:r>
        <w:t xml:space="preserve">tetapi cukup umum untuk diterapkan lintas industri. Bagi pembelajar strategi pasca-sarjana — termasuk mahasiswa Magister Akuntansi yang sering menjadi anggota</w:t>
      </w:r>
      <w:r>
        <w:t xml:space="preserve"> </w:t>
      </w:r>
      <w:r>
        <w:rPr>
          <w:i/>
          <w:iCs/>
        </w:rPr>
        <w:t xml:space="preserve">deal team</w:t>
      </w:r>
      <w:r>
        <w:t xml:space="preserve"> </w:t>
      </w:r>
      <w:r>
        <w:t xml:space="preserve">atau auditor</w:t>
      </w:r>
      <w:r>
        <w:t xml:space="preserve"> </w:t>
      </w:r>
      <w:r>
        <w:rPr>
          <w:i/>
          <w:iCs/>
        </w:rPr>
        <w:t xml:space="preserve">post-merger</w:t>
      </w:r>
      <w:r>
        <w:t xml:space="preserve"> </w:t>
      </w:r>
      <w:r>
        <w:t xml:space="preserve">— kerangka ini menyediakan kosakata operasional yang langsung dapat dipakai. Topik yang relevan dan kerangka yang aplikatif bukan kombinasi yang lazim ditemukan pada</w:t>
      </w:r>
      <w:r>
        <w:t xml:space="preserve"> </w:t>
      </w:r>
      <w:r>
        <w:rPr>
          <w:i/>
          <w:iCs/>
        </w:rPr>
        <w:t xml:space="preserve">conference paper</w:t>
      </w:r>
      <w:r>
        <w:t xml:space="preserve"> </w:t>
      </w:r>
      <w:r>
        <w:t xml:space="preserve">— artikel ini mendapatkan poin kekuatan pada dimensi tersebut, meskipun eksekusi metodologis selanjutnya akan dikritisi.</w:t>
      </w:r>
    </w:p>
    <w:bookmarkEnd w:id="45"/>
    <w:bookmarkStart w:id="46" w:name="operasionalisasi-via-4cs"/>
    <w:p>
      <w:pPr>
        <w:pStyle w:val="Heading3"/>
      </w:pPr>
      <w:r>
        <w:t xml:space="preserve">Operasionalisasi via 4Cs</w:t>
      </w:r>
    </w:p>
    <w:p>
      <w:pPr>
        <w:pStyle w:val="FirstParagraph"/>
      </w:pPr>
      <w:r>
        <w:t xml:space="preserve">Kekuatan kedua adalah pilihan kerangka operasionalisasi yang relatif kuat. Kerangka</w:t>
      </w:r>
      <w:r>
        <w:t xml:space="preserve"> </w:t>
      </w:r>
      <w:r>
        <w:rPr>
          <w:i/>
          <w:iCs/>
        </w:rPr>
        <w:t xml:space="preserve">4Cs</w:t>
      </w:r>
      <w:r>
        <w:t xml:space="preserve"> </w:t>
      </w:r>
      <w:r>
        <w:t xml:space="preserve">Medcof (1997) lebih konkret dibandingkan dengan banyak kerangka</w:t>
      </w:r>
      <w:r>
        <w:t xml:space="preserve"> </w:t>
      </w:r>
      <w:r>
        <w:rPr>
          <w:i/>
          <w:iCs/>
        </w:rPr>
        <w:t xml:space="preserve">strategic fit</w:t>
      </w:r>
      <w:r>
        <w:t xml:space="preserve"> </w:t>
      </w:r>
      <w:r>
        <w:t xml:space="preserve">alternatif yang sering berakhir pada metafora atau abstraksi tinggi. Setiap C —</w:t>
      </w:r>
      <w:r>
        <w:t xml:space="preserve"> </w:t>
      </w:r>
      <w:r>
        <w:rPr>
          <w:i/>
          <w:iCs/>
        </w:rPr>
        <w:t xml:space="preserve">Capability, Compatibility, Commitment, Control</w:t>
      </w:r>
      <w:r>
        <w:t xml:space="preserve"> </w:t>
      </w:r>
      <w:r>
        <w:t xml:space="preserve">— dapat diterjemahkan ke pertanyaan-pertanyaan operasional.</w:t>
      </w:r>
      <w:r>
        <w:t xml:space="preserve"> </w:t>
      </w:r>
      <w:r>
        <w:rPr>
          <w:i/>
          <w:iCs/>
        </w:rPr>
        <w:t xml:space="preserve">Capability</w:t>
      </w:r>
      <w:r>
        <w:t xml:space="preserve"> </w:t>
      </w:r>
      <w:r>
        <w:t xml:space="preserve">dapat dipecah menjadi</w:t>
      </w:r>
      <w:r>
        <w:t xml:space="preserve"> </w:t>
      </w:r>
      <w:r>
        <w:rPr>
          <w:i/>
          <w:iCs/>
        </w:rPr>
        <w:t xml:space="preserve">technological capability</w:t>
      </w:r>
      <w:r>
        <w:t xml:space="preserve">,</w:t>
      </w:r>
      <w:r>
        <w:t xml:space="preserve"> </w:t>
      </w:r>
      <w:r>
        <w:rPr>
          <w:i/>
          <w:iCs/>
        </w:rPr>
        <w:t xml:space="preserve">managerial capability</w:t>
      </w:r>
      <w:r>
        <w:t xml:space="preserve">,</w:t>
      </w:r>
      <w:r>
        <w:t xml:space="preserve"> </w:t>
      </w:r>
      <w:r>
        <w:rPr>
          <w:i/>
          <w:iCs/>
        </w:rPr>
        <w:t xml:space="preserve">market-access capability</w:t>
      </w:r>
      <w:r>
        <w:t xml:space="preserve">,</w:t>
      </w:r>
      <w:r>
        <w:t xml:space="preserve"> </w:t>
      </w:r>
      <w:r>
        <w:rPr>
          <w:i/>
          <w:iCs/>
        </w:rPr>
        <w:t xml:space="preserve">financial capability</w:t>
      </w:r>
      <w:r>
        <w:t xml:space="preserve">.</w:t>
      </w:r>
      <w:r>
        <w:t xml:space="preserve"> </w:t>
      </w:r>
      <w:r>
        <w:rPr>
          <w:i/>
          <w:iCs/>
        </w:rPr>
        <w:t xml:space="preserve">Compatibility</w:t>
      </w:r>
      <w:r>
        <w:t xml:space="preserve"> </w:t>
      </w:r>
      <w:r>
        <w:t xml:space="preserve">dapat dipecah menjadi</w:t>
      </w:r>
      <w:r>
        <w:t xml:space="preserve"> </w:t>
      </w:r>
      <w:r>
        <w:rPr>
          <w:i/>
          <w:iCs/>
        </w:rPr>
        <w:t xml:space="preserve">cultural compatibility</w:t>
      </w:r>
      <w:r>
        <w:t xml:space="preserve">,</w:t>
      </w:r>
      <w:r>
        <w:t xml:space="preserve"> </w:t>
      </w:r>
      <w:r>
        <w:rPr>
          <w:i/>
          <w:iCs/>
        </w:rPr>
        <w:t xml:space="preserve">strategic compatibility</w:t>
      </w:r>
      <w:r>
        <w:t xml:space="preserve">,</w:t>
      </w:r>
      <w:r>
        <w:t xml:space="preserve"> </w:t>
      </w:r>
      <w:r>
        <w:rPr>
          <w:i/>
          <w:iCs/>
        </w:rPr>
        <w:t xml:space="preserve">operational compatibility</w:t>
      </w:r>
      <w:r>
        <w:t xml:space="preserve">.</w:t>
      </w:r>
      <w:r>
        <w:t xml:space="preserve"> </w:t>
      </w:r>
      <w:r>
        <w:rPr>
          <w:i/>
          <w:iCs/>
        </w:rPr>
        <w:t xml:space="preserve">Commitment</w:t>
      </w:r>
      <w:r>
        <w:t xml:space="preserve"> </w:t>
      </w:r>
      <w:r>
        <w:t xml:space="preserve">dapat dipecah menjadi</w:t>
      </w:r>
      <w:r>
        <w:t xml:space="preserve"> </w:t>
      </w:r>
      <w:r>
        <w:rPr>
          <w:i/>
          <w:iCs/>
        </w:rPr>
        <w:t xml:space="preserve">resource commitment</w:t>
      </w:r>
      <w:r>
        <w:t xml:space="preserve">,</w:t>
      </w:r>
      <w:r>
        <w:t xml:space="preserve"> </w:t>
      </w:r>
      <w:r>
        <w:rPr>
          <w:i/>
          <w:iCs/>
        </w:rPr>
        <w:t xml:space="preserve">time commitment</w:t>
      </w:r>
      <w:r>
        <w:t xml:space="preserve">,</w:t>
      </w:r>
      <w:r>
        <w:t xml:space="preserve"> </w:t>
      </w:r>
      <w:r>
        <w:rPr>
          <w:i/>
          <w:iCs/>
        </w:rPr>
        <w:t xml:space="preserve">senior-leadership attention commitment</w:t>
      </w:r>
      <w:r>
        <w:t xml:space="preserve">.</w:t>
      </w:r>
      <w:r>
        <w:t xml:space="preserve"> </w:t>
      </w:r>
      <w:r>
        <w:rPr>
          <w:i/>
          <w:iCs/>
        </w:rPr>
        <w:t xml:space="preserve">Control</w:t>
      </w:r>
      <w:r>
        <w:t xml:space="preserve"> </w:t>
      </w:r>
      <w:r>
        <w:t xml:space="preserve">dapat dipecah menjadi</w:t>
      </w:r>
      <w:r>
        <w:t xml:space="preserve"> </w:t>
      </w:r>
      <w:r>
        <w:rPr>
          <w:i/>
          <w:iCs/>
        </w:rPr>
        <w:t xml:space="preserve">governance structure</w:t>
      </w:r>
      <w:r>
        <w:t xml:space="preserve">,</w:t>
      </w:r>
      <w:r>
        <w:t xml:space="preserve"> </w:t>
      </w:r>
      <w:r>
        <w:rPr>
          <w:i/>
          <w:iCs/>
        </w:rPr>
        <w:t xml:space="preserve">decision-rights allocation</w:t>
      </w:r>
      <w:r>
        <w:t xml:space="preserve">,</w:t>
      </w:r>
      <w:r>
        <w:t xml:space="preserve"> </w:t>
      </w:r>
      <w:r>
        <w:rPr>
          <w:i/>
          <w:iCs/>
        </w:rPr>
        <w:t xml:space="preserve">dispute-resolution mechanism</w:t>
      </w:r>
      <w:r>
        <w:t xml:space="preserve">. Granularitas demikian memungkinkan praktisi membangun</w:t>
      </w:r>
      <w:r>
        <w:t xml:space="preserve"> </w:t>
      </w:r>
      <w:r>
        <w:rPr>
          <w:i/>
          <w:iCs/>
        </w:rPr>
        <w:t xml:space="preserve">due-diligence questionnaire</w:t>
      </w:r>
      <w:r>
        <w:t xml:space="preserve"> </w:t>
      </w:r>
      <w:r>
        <w:t xml:space="preserve">yang sistematis dari kerangka ini.</w:t>
      </w:r>
      <w:r>
        <w:t xml:space="preserve"> </w:t>
      </w:r>
      <w:r>
        <w:rPr>
          <w:b/>
          <w:bCs/>
        </w:rPr>
        <w:t xml:space="preserve">Apresiasi penting</w:t>
      </w:r>
      <w:r>
        <w:t xml:space="preserve"> </w:t>
      </w:r>
      <w:r>
        <w:t xml:space="preserve">adalah bahwa penulis tidak menciptakan tipologi baru untuk dimensi</w:t>
      </w:r>
      <w:r>
        <w:t xml:space="preserve"> </w:t>
      </w:r>
      <w:r>
        <w:rPr>
          <w:i/>
          <w:iCs/>
        </w:rPr>
        <w:t xml:space="preserve">fit</w:t>
      </w:r>
      <w:r>
        <w:t xml:space="preserve"> </w:t>
      </w:r>
      <w:r>
        <w:t xml:space="preserve">— mereka memilih kerangka yang sudah ada (Medcof 1997) dan mengoperasionalisasinya secara empiris. Pilihan ini menghindari dosa akademik</w:t>
      </w:r>
      <w:r>
        <w:t xml:space="preserve"> </w:t>
      </w:r>
      <w:r>
        <w:rPr>
          <w:i/>
          <w:iCs/>
        </w:rPr>
        <w:t xml:space="preserve">concept proliferation</w:t>
      </w:r>
      <w:r>
        <w:t xml:space="preserve"> </w:t>
      </w:r>
      <w:r>
        <w:t xml:space="preserve">yang sering merusak</w:t>
      </w:r>
      <w:r>
        <w:t xml:space="preserve"> </w:t>
      </w:r>
      <w:r>
        <w:rPr>
          <w:i/>
          <w:iCs/>
        </w:rPr>
        <w:t xml:space="preserve">cumulative knowledge building</w:t>
      </w:r>
      <w:r>
        <w:t xml:space="preserve"> </w:t>
      </w:r>
      <w:r>
        <w:t xml:space="preserve">di bidang manajemen strategik. Bagi pembelajar pasca-sarjana, granularitas tersebut membantu menerjemahkan diskusi</w:t>
      </w:r>
      <w:r>
        <w:t xml:space="preserve"> </w:t>
      </w:r>
      <w:r>
        <w:rPr>
          <w:i/>
          <w:iCs/>
        </w:rPr>
        <w:t xml:space="preserve">fit</w:t>
      </w:r>
      <w:r>
        <w:t xml:space="preserve"> </w:t>
      </w:r>
      <w:r>
        <w:t xml:space="preserve">yang sering abstrak menjadi pertanyaan-pertanyaan yang dapat ditanyakan dalam wawancara eksekutif atau analisis kasus M&amp;A — sebuah jembatan pedagogis yang berharga.</w:t>
      </w:r>
    </w:p>
    <w:bookmarkEnd w:id="46"/>
    <w:bookmarkStart w:id="47" w:name="X5b3fa361a704ac736f2145b30a0b8490fd096c3"/>
    <w:p>
      <w:pPr>
        <w:pStyle w:val="Heading3"/>
      </w:pPr>
      <w:r>
        <w:t xml:space="preserve">Uji Empiris (Berbeda dari Banyak Conference Papers)</w:t>
      </w:r>
    </w:p>
    <w:p>
      <w:pPr>
        <w:pStyle w:val="FirstParagraph"/>
      </w:pPr>
      <w:r>
        <w:t xml:space="preserve">Kekuatan ketiga — dan ini relatif unik dibandingkan dengan banyak</w:t>
      </w:r>
      <w:r>
        <w:t xml:space="preserve"> </w:t>
      </w:r>
      <w:r>
        <w:rPr>
          <w:i/>
          <w:iCs/>
        </w:rPr>
        <w:t xml:space="preserve">conference paper</w:t>
      </w:r>
      <w:r>
        <w:t xml:space="preserve"> </w:t>
      </w:r>
      <w:r>
        <w:t xml:space="preserve">lain — adalah hadirnya uji empiris. Banyak</w:t>
      </w:r>
      <w:r>
        <w:t xml:space="preserve"> </w:t>
      </w:r>
      <w:r>
        <w:rPr>
          <w:i/>
          <w:iCs/>
        </w:rPr>
        <w:t xml:space="preserve">conference paper</w:t>
      </w:r>
      <w:r>
        <w:t xml:space="preserve"> </w:t>
      </w:r>
      <w:r>
        <w:t xml:space="preserve">di bidang manajemen strategik berhenti pada level konseptual atau</w:t>
      </w:r>
      <w:r>
        <w:t xml:space="preserve"> </w:t>
      </w:r>
      <w:r>
        <w:rPr>
          <w:i/>
          <w:iCs/>
        </w:rPr>
        <w:t xml:space="preserve">literature review</w:t>
      </w:r>
      <w:r>
        <w:t xml:space="preserve">; Okebaram dan Onuoha melangkah lebih jauh dengan mengumpulkan data primer dari 212 responden, menggunakan formula Yamane untuk menentukan ukuran sampel (populasi 450 dengan</w:t>
      </w:r>
      <w:r>
        <w:t xml:space="preserve"> </w:t>
      </w:r>
      <w:r>
        <w:rPr>
          <w:i/>
          <w:iCs/>
        </w:rPr>
        <w:t xml:space="preserve">error</w:t>
      </w:r>
      <w:r>
        <w:t xml:space="preserve"> </w:t>
      </w:r>
      <w:r>
        <w:t xml:space="preserve">5%), dan menjalankan uji statistik formal. Keberanian untuk membangun</w:t>
      </w:r>
      <w:r>
        <w:t xml:space="preserve"> </w:t>
      </w:r>
      <w:r>
        <w:rPr>
          <w:i/>
          <w:iCs/>
        </w:rPr>
        <w:t xml:space="preserve">empirical anchor</w:t>
      </w:r>
      <w:r>
        <w:t xml:space="preserve"> </w:t>
      </w:r>
      <w:r>
        <w:t xml:space="preserve">— meskipun anchor tersebut dapat dikritisi dari sisi metodologi statistik sebagaimana akan dibahas pada §6 — meletakkan artikel ini pada tier yang lebih tinggi dibandingkan dengan</w:t>
      </w:r>
      <w:r>
        <w:t xml:space="preserve"> </w:t>
      </w:r>
      <w:r>
        <w:rPr>
          <w:i/>
          <w:iCs/>
        </w:rPr>
        <w:t xml:space="preserve">opinion piece</w:t>
      </w:r>
      <w:r>
        <w:t xml:space="preserve"> </w:t>
      </w:r>
      <w:r>
        <w:t xml:space="preserve">murni. Sampel yang relatif besar (n = 212) juga membantu</w:t>
      </w:r>
      <w:r>
        <w:t xml:space="preserve"> </w:t>
      </w:r>
      <w:r>
        <w:rPr>
          <w:i/>
          <w:iCs/>
        </w:rPr>
        <w:t xml:space="preserve">statistical power</w:t>
      </w:r>
      <w:r>
        <w:t xml:space="preserve">; meskipun</w:t>
      </w:r>
      <w:r>
        <w:t xml:space="preserve"> </w:t>
      </w:r>
      <w:r>
        <w:rPr>
          <w:i/>
          <w:iCs/>
        </w:rPr>
        <w:t xml:space="preserve">power analysis</w:t>
      </w:r>
      <w:r>
        <w:t xml:space="preserve"> </w:t>
      </w:r>
      <w:r>
        <w:t xml:space="preserve">formal tidak dilaporkan, ukuran sampel ini cukup untuk uji bivariat dengan</w:t>
      </w:r>
      <w:r>
        <w:t xml:space="preserve"> </w:t>
      </w:r>
      <w:r>
        <w:rPr>
          <w:i/>
          <w:iCs/>
        </w:rPr>
        <w:t xml:space="preserve">effect size</w:t>
      </w:r>
      <w:r>
        <w:t xml:space="preserve"> </w:t>
      </w:r>
      <w:r>
        <w:t xml:space="preserve">sedang. Bagi pembaca yang membandingkan Artikel 11 (konseptual murni) dengan Artikel 12, perbedaan epistemologis ini layak diapresiasi sebelum kritik metodologis pada §6 dan §7 disampaikan. Catatan akhir untuk dimensi kekuatan ini: meskipun eksekusi statistiknya bermasalah, upaya empiris yang tertanam dalam artikel tetap menjadi</w:t>
      </w:r>
      <w:r>
        <w:t xml:space="preserve"> </w:t>
      </w:r>
      <w:r>
        <w:rPr>
          <w:i/>
          <w:iCs/>
        </w:rPr>
        <w:t xml:space="preserve">signal</w:t>
      </w:r>
      <w:r>
        <w:t xml:space="preserve"> </w:t>
      </w:r>
      <w:r>
        <w:t xml:space="preserve">niat keilmuan yang serius dan membuka peluang replikasi atau perbaikan oleh peneliti lain — sesuatu yang sulit dilakukan pada paper murni konseptual.</w:t>
      </w:r>
    </w:p>
    <w:bookmarkEnd w:id="47"/>
    <w:bookmarkEnd w:id="48"/>
    <w:bookmarkStart w:id="55" w:name="keterbatasan-dan-kelemahan"/>
    <w:p>
      <w:pPr>
        <w:pStyle w:val="Heading2"/>
      </w:pPr>
      <w:r>
        <w:t xml:space="preserve">§6 Keterbatasan dan Kelemahan</w:t>
      </w:r>
    </w:p>
    <w:bookmarkStart w:id="49" w:name="X2102e4e4b753ce755749e3d20b41b57c1547ee9"/>
    <w:p>
      <w:pPr>
        <w:pStyle w:val="Heading3"/>
      </w:pPr>
      <w:r>
        <w:t xml:space="preserve">Definisi</w:t>
      </w:r>
      <w:r>
        <w:t xml:space="preserve"> </w:t>
      </w:r>
      <w:r>
        <w:rPr>
          <w:i/>
          <w:iCs/>
        </w:rPr>
        <w:t xml:space="preserve">Sustainability</w:t>
      </w:r>
      <w:r>
        <w:t xml:space="preserve"> </w:t>
      </w:r>
      <w:r>
        <w:t xml:space="preserve">yang Longgar dan Berpotensi Menyesatkan</w:t>
      </w:r>
    </w:p>
    <w:p>
      <w:pPr>
        <w:pStyle w:val="FirstParagraph"/>
      </w:pPr>
      <w:r>
        <w:rPr>
          <w:b/>
          <w:bCs/>
        </w:rPr>
        <w:t xml:space="preserve">Limitasi paling kritis</w:t>
      </w:r>
      <w:r>
        <w:t xml:space="preserve"> </w:t>
      </w:r>
      <w:r>
        <w:t xml:space="preserve">dari artikel ini adalah pemakaian istilah</w:t>
      </w:r>
      <w:r>
        <w:t xml:space="preserve"> </w:t>
      </w:r>
      <w:r>
        <w:rPr>
          <w:i/>
          <w:iCs/>
        </w:rPr>
        <w:t xml:space="preserve">sustainability</w:t>
      </w:r>
      <w:r>
        <w:t xml:space="preserve"> </w:t>
      </w:r>
      <w:r>
        <w:t xml:space="preserve">yang longgar dan berpotensi menyesatkan pembaca. Judul artikel —</w:t>
      </w:r>
      <w:r>
        <w:t xml:space="preserve"> </w:t>
      </w:r>
      <w:r>
        <w:rPr>
          <w:i/>
          <w:iCs/>
        </w:rPr>
        <w:t xml:space="preserve">Implication of Strategic Fit and Sustainability on Organizational Effectiveness</w:t>
      </w:r>
      <w:r>
        <w:t xml:space="preserve"> </w:t>
      </w:r>
      <w:r>
        <w:t xml:space="preserve">— menjanjikan analisis tentang</w:t>
      </w:r>
      <w:r>
        <w:t xml:space="preserve"> </w:t>
      </w:r>
      <w:r>
        <w:rPr>
          <w:i/>
          <w:iCs/>
        </w:rPr>
        <w:t xml:space="preserve">sustainability</w:t>
      </w:r>
      <w:r>
        <w:t xml:space="preserve"> </w:t>
      </w:r>
      <w:r>
        <w:t xml:space="preserve">sebagai konsep tersendiri. Namun penelusuran tubuh artikel menunjukkan bahwa penulis menggunakan istilah ini secara loose untuk merujuk</w:t>
      </w:r>
      <w:r>
        <w:t xml:space="preserve"> </w:t>
      </w:r>
      <w:r>
        <w:rPr>
          <w:i/>
          <w:iCs/>
        </w:rPr>
        <w:t xml:space="preserve">sustained competitive advantage</w:t>
      </w:r>
      <w:r>
        <w:t xml:space="preserve"> </w:t>
      </w:r>
      <w:r>
        <w:t xml:space="preserve">dalam tradisi Porter (1985, hlm. 198) —</w:t>
      </w:r>
      <w:r>
        <w:t xml:space="preserve"> </w:t>
      </w:r>
      <w:r>
        <w:rPr>
          <w:i/>
          <w:iCs/>
        </w:rPr>
        <w:t xml:space="preserve">durabilitas</w:t>
      </w:r>
      <w:r>
        <w:t xml:space="preserve"> </w:t>
      </w:r>
      <w:r>
        <w:t xml:space="preserve">posisi kompetitif terhadap imitasi pesaing. Kerangka</w:t>
      </w:r>
      <w:r>
        <w:t xml:space="preserve"> </w:t>
      </w:r>
      <w:r>
        <w:rPr>
          <w:i/>
          <w:iCs/>
        </w:rPr>
        <w:t xml:space="preserve">triple bottom line</w:t>
      </w:r>
      <w:r>
        <w:t xml:space="preserve"> </w:t>
      </w:r>
      <w:r>
        <w:t xml:space="preserve">(Elkington 1997 — referensi yang</w:t>
      </w:r>
      <w:r>
        <w:t xml:space="preserve"> </w:t>
      </w:r>
      <w:r>
        <w:rPr>
          <w:b/>
          <w:bCs/>
        </w:rPr>
        <w:t xml:space="preserve">tidak ada dalam daftar pustaka artikel ini</w:t>
      </w:r>
      <w:r>
        <w:t xml:space="preserve"> </w:t>
      </w:r>
      <w:r>
        <w:t xml:space="preserve">dan dengan demikian merupakan</w:t>
      </w:r>
      <w:r>
        <w:t xml:space="preserve"> </w:t>
      </w:r>
      <w:r>
        <w:rPr>
          <w:i/>
          <w:iCs/>
        </w:rPr>
        <w:t xml:space="preserve">external critical reference point</w:t>
      </w:r>
      <w:r>
        <w:t xml:space="preserve"> </w:t>
      </w:r>
      <w:r>
        <w:t xml:space="preserve">yang saya tambahkan sebagai pengulas), yang membedakan dimensi</w:t>
      </w:r>
      <w:r>
        <w:t xml:space="preserve"> </w:t>
      </w:r>
      <w:r>
        <w:rPr>
          <w:i/>
          <w:iCs/>
        </w:rPr>
        <w:t xml:space="preserve">environmental, social, economic</w:t>
      </w:r>
      <w:r>
        <w:t xml:space="preserve"> </w:t>
      </w:r>
      <w:r>
        <w:t xml:space="preserve">sustainability, sama sekali tidak digunakan.</w:t>
      </w:r>
      <w:r>
        <w:t xml:space="preserve"> </w:t>
      </w:r>
      <w:r>
        <w:rPr>
          <w:i/>
          <w:iCs/>
        </w:rPr>
        <w:t xml:space="preserve">Natural-resource-based view</w:t>
      </w:r>
      <w:r>
        <w:t xml:space="preserve"> </w:t>
      </w:r>
      <w:r>
        <w:t xml:space="preserve">dari Hart (1995 — juga</w:t>
      </w:r>
      <w:r>
        <w:t xml:space="preserve"> </w:t>
      </w:r>
      <w:r>
        <w:rPr>
          <w:b/>
          <w:bCs/>
        </w:rPr>
        <w:t xml:space="preserve">tidak dirujuk artikel</w:t>
      </w:r>
      <w:r>
        <w:t xml:space="preserve">) yang menjelaskan bagaimana isu lingkungan menjadi sumber keunggulan kompetitif, juga tidak hadir. Konsekuensi praktisnya berlapis: pembaca yang mencari artikel tentang</w:t>
      </w:r>
      <w:r>
        <w:t xml:space="preserve"> </w:t>
      </w:r>
      <w:r>
        <w:rPr>
          <w:i/>
          <w:iCs/>
        </w:rPr>
        <w:t xml:space="preserve">sustainability</w:t>
      </w:r>
      <w:r>
        <w:t xml:space="preserve"> </w:t>
      </w:r>
      <w:r>
        <w:t xml:space="preserve">dalam pengertian</w:t>
      </w:r>
      <w:r>
        <w:t xml:space="preserve"> </w:t>
      </w:r>
      <w:r>
        <w:rPr>
          <w:i/>
          <w:iCs/>
        </w:rPr>
        <w:t xml:space="preserve">post-Brundtland</w:t>
      </w:r>
      <w:r>
        <w:t xml:space="preserve"> </w:t>
      </w:r>
      <w:r>
        <w:t xml:space="preserve">akan kecewa; pembaca yang mengevaluasi artikel sebagai kontribusi ke</w:t>
      </w:r>
      <w:r>
        <w:t xml:space="preserve"> </w:t>
      </w:r>
      <w:r>
        <w:rPr>
          <w:i/>
          <w:iCs/>
        </w:rPr>
        <w:t xml:space="preserve">sustainable strategic management</w:t>
      </w:r>
      <w:r>
        <w:t xml:space="preserve"> </w:t>
      </w:r>
      <w:r>
        <w:t xml:space="preserve">akan menemukan tidak ada bahan substantif; pembaca pedagogis yang menggunakan artikel sebagai sumber pengajaran</w:t>
      </w:r>
      <w:r>
        <w:t xml:space="preserve"> </w:t>
      </w:r>
      <w:r>
        <w:rPr>
          <w:i/>
          <w:iCs/>
        </w:rPr>
        <w:t xml:space="preserve">sustainability</w:t>
      </w:r>
      <w:r>
        <w:t xml:space="preserve"> </w:t>
      </w:r>
      <w:r>
        <w:t xml:space="preserve">akan menyesatkan mahasiswa.</w:t>
      </w:r>
      <w:r>
        <w:t xml:space="preserve"> </w:t>
      </w:r>
      <w:r>
        <w:rPr>
          <w:b/>
          <w:bCs/>
        </w:rPr>
        <w:t xml:space="preserve">Bila penulis bermaksud membahas SCA, judul seharusnya tidak memakai istilah</w:t>
      </w:r>
      <w:r>
        <w:rPr>
          <w:b/>
          <w:bCs/>
        </w:rPr>
        <w:t xml:space="preserve"> </w:t>
      </w:r>
      <w:r>
        <w:rPr>
          <w:b/>
          <w:bCs/>
          <w:i/>
          <w:iCs/>
        </w:rPr>
        <w:t xml:space="preserve">sustainability</w:t>
      </w:r>
      <w:r>
        <w:t xml:space="preserve"> </w:t>
      </w:r>
      <w:r>
        <w:t xml:space="preserve">yang sejak Elkington (1997) memiliki makna teknis yang spesifik dalam literatur manajemen kontemporer.</w:t>
      </w:r>
    </w:p>
    <w:bookmarkEnd w:id="49"/>
    <w:bookmarkStart w:id="50" w:name="X14009e768e8e9cf45d2f8a1413825f8d1f01798"/>
    <w:p>
      <w:pPr>
        <w:pStyle w:val="Heading3"/>
      </w:pPr>
      <w:r>
        <w:t xml:space="preserve">Empirical Lag Empat Tahun yang Tidak Diungkapkan</w:t>
      </w:r>
    </w:p>
    <w:p>
      <w:pPr>
        <w:pStyle w:val="FirstParagraph"/>
      </w:pPr>
      <w:r>
        <w:t xml:space="preserve">Limitasi kedua adalah</w:t>
      </w:r>
      <w:r>
        <w:t xml:space="preserve"> </w:t>
      </w:r>
      <w:r>
        <w:rPr>
          <w:i/>
          <w:iCs/>
        </w:rPr>
        <w:t xml:space="preserve">empirical lag</w:t>
      </w:r>
      <w:r>
        <w:t xml:space="preserve"> </w:t>
      </w:r>
      <w:r>
        <w:t xml:space="preserve">— jeda temporal antara pengumpulan data dan publikasi — yang tidak diungkapkan secara eksplisit oleh penulis. Sumber data dilabeli sebagai</w:t>
      </w:r>
      <w:r>
        <w:t xml:space="preserve"> </w:t>
      </w:r>
      <w:r>
        <w:t xml:space="preserve">“</w:t>
      </w:r>
      <w:r>
        <w:rPr>
          <w:i/>
          <w:iCs/>
        </w:rPr>
        <w:t xml:space="preserve">Field Survey 2014</w:t>
      </w:r>
      <w:r>
        <w:t xml:space="preserve">”</w:t>
      </w:r>
      <w:r>
        <w:t xml:space="preserve"> </w:t>
      </w:r>
      <w:r>
        <w:t xml:space="preserve">sementara artikel dipresentasikan pada konferensi 2018. Jeda empat tahun ini bermasalah karena industri telekomunikasi dan perbankan Nigeria mengalami perubahan substansial dalam rentang waktu tersebut — perubahan regulasi spektrum oleh</w:t>
      </w:r>
      <w:r>
        <w:t xml:space="preserve"> </w:t>
      </w:r>
      <w:r>
        <w:rPr>
          <w:i/>
          <w:iCs/>
        </w:rPr>
        <w:t xml:space="preserve">Nigerian Communications Commission</w:t>
      </w:r>
      <w:r>
        <w:t xml:space="preserve">,</w:t>
      </w:r>
      <w:r>
        <w:t xml:space="preserve"> </w:t>
      </w:r>
      <w:r>
        <w:rPr>
          <w:i/>
          <w:iCs/>
        </w:rPr>
        <w:t xml:space="preserve">consolidation wave</w:t>
      </w:r>
      <w:r>
        <w:t xml:space="preserve"> </w:t>
      </w:r>
      <w:r>
        <w:t xml:space="preserve">di sektor perbankan pasca-krisis 2015, fluktuasi nilai tukar Naira yang mempengaruhi struktur biaya operasi, serta perubahan profil demografis pelanggan. Bila</w:t>
      </w:r>
      <w:r>
        <w:t xml:space="preserve"> </w:t>
      </w:r>
      <w:r>
        <w:rPr>
          <w:i/>
          <w:iCs/>
        </w:rPr>
        <w:t xml:space="preserve">organizational effectiveness</w:t>
      </w:r>
      <w:r>
        <w:t xml:space="preserve"> </w:t>
      </w:r>
      <w:r>
        <w:t xml:space="preserve">yang diukur pada 2014 menjadi</w:t>
      </w:r>
      <w:r>
        <w:t xml:space="preserve"> </w:t>
      </w:r>
      <w:r>
        <w:rPr>
          <w:i/>
          <w:iCs/>
        </w:rPr>
        <w:t xml:space="preserve">empirical anchor</w:t>
      </w:r>
      <w:r>
        <w:t xml:space="preserve"> </w:t>
      </w:r>
      <w:r>
        <w:t xml:space="preserve">untuk klaim yang dipresentasikan pada 2018, validitas klaim tersebut dipertanyakan. Lebih kritis lagi,</w:t>
      </w:r>
      <w:r>
        <w:t xml:space="preserve"> </w:t>
      </w:r>
      <w:r>
        <w:rPr>
          <w:b/>
          <w:bCs/>
        </w:rPr>
        <w:t xml:space="preserve">penulis tidak mendiskusikan jeda ini sama sekali</w:t>
      </w:r>
      <w:r>
        <w:t xml:space="preserve"> </w:t>
      </w:r>
      <w:r>
        <w:t xml:space="preserve">— tidak ada catatan tentang relevansi data 2014 untuk klaim 2018, tidak ada</w:t>
      </w:r>
      <w:r>
        <w:t xml:space="preserve"> </w:t>
      </w:r>
      <w:r>
        <w:rPr>
          <w:i/>
          <w:iCs/>
        </w:rPr>
        <w:t xml:space="preserve">robustness check</w:t>
      </w:r>
      <w:r>
        <w:t xml:space="preserve"> </w:t>
      </w:r>
      <w:r>
        <w:t xml:space="preserve">dengan data lebih baru, tidak ada</w:t>
      </w:r>
      <w:r>
        <w:t xml:space="preserve"> </w:t>
      </w:r>
      <w:r>
        <w:rPr>
          <w:i/>
          <w:iCs/>
        </w:rPr>
        <w:t xml:space="preserve">limitations section</w:t>
      </w:r>
      <w:r>
        <w:t xml:space="preserve"> </w:t>
      </w:r>
      <w:r>
        <w:t xml:space="preserve">yang menyebut isu temporal. Praktik</w:t>
      </w:r>
      <w:r>
        <w:t xml:space="preserve"> </w:t>
      </w:r>
      <w:r>
        <w:rPr>
          <w:i/>
          <w:iCs/>
        </w:rPr>
        <w:t xml:space="preserve">full disclosure</w:t>
      </w:r>
      <w:r>
        <w:t xml:space="preserve"> </w:t>
      </w:r>
      <w:r>
        <w:t xml:space="preserve">dalam ilmu sosial menuntut transparansi tentang waktu pengumpulan data; ketiadaan transparansi ini bersifat metodologis sekaligus etis.</w:t>
      </w:r>
    </w:p>
    <w:bookmarkEnd w:id="50"/>
    <w:bookmarkStart w:id="51" w:name="metodologi-statistik-yang-diragukan"/>
    <w:p>
      <w:pPr>
        <w:pStyle w:val="Heading3"/>
      </w:pPr>
      <w:r>
        <w:t xml:space="preserve">Metodologi Statistik yang Diragukan</w:t>
      </w:r>
    </w:p>
    <w:p>
      <w:pPr>
        <w:pStyle w:val="FirstParagraph"/>
      </w:pPr>
      <w:r>
        <w:t xml:space="preserve">Limitasi ketiga adalah pilihan metodologi statistik yang dapat dipertanyakan. Penulis menggunakan Z-test pada</w:t>
      </w:r>
      <w:r>
        <w:t xml:space="preserve"> </w:t>
      </w:r>
      <w:r>
        <w:rPr>
          <w:i/>
          <w:iCs/>
        </w:rPr>
        <w:t xml:space="preserve">mean</w:t>
      </w:r>
      <w:r>
        <w:t xml:space="preserve"> </w:t>
      </w:r>
      <w:r>
        <w:t xml:space="preserve">skor Likert lima poin untuk menguji ketiga hipotesis null. Pertama,</w:t>
      </w:r>
      <w:r>
        <w:t xml:space="preserve"> </w:t>
      </w:r>
      <w:r>
        <w:rPr>
          <w:i/>
          <w:iCs/>
        </w:rPr>
        <w:t xml:space="preserve">mean</w:t>
      </w:r>
      <w:r>
        <w:t xml:space="preserve"> </w:t>
      </w:r>
      <w:r>
        <w:t xml:space="preserve">Likert pada skala lima poin secara teknis adalah</w:t>
      </w:r>
      <w:r>
        <w:t xml:space="preserve"> </w:t>
      </w:r>
      <w:r>
        <w:rPr>
          <w:i/>
          <w:iCs/>
        </w:rPr>
        <w:t xml:space="preserve">ordinal data</w:t>
      </w:r>
      <w:r>
        <w:t xml:space="preserve"> </w:t>
      </w:r>
      <w:r>
        <w:t xml:space="preserve">— bukan</w:t>
      </w:r>
      <w:r>
        <w:t xml:space="preserve"> </w:t>
      </w:r>
      <w:r>
        <w:rPr>
          <w:i/>
          <w:iCs/>
        </w:rPr>
        <w:t xml:space="preserve">interval data</w:t>
      </w:r>
      <w:r>
        <w:t xml:space="preserve"> </w:t>
      </w:r>
      <w:r>
        <w:t xml:space="preserve">— sehingga penggunaan</w:t>
      </w:r>
      <w:r>
        <w:t xml:space="preserve"> </w:t>
      </w:r>
      <w:r>
        <w:rPr>
          <w:i/>
          <w:iCs/>
        </w:rPr>
        <w:t xml:space="preserve">mean</w:t>
      </w:r>
      <w:r>
        <w:t xml:space="preserve"> </w:t>
      </w:r>
      <w:r>
        <w:t xml:space="preserve">sebagai</w:t>
      </w:r>
      <w:r>
        <w:t xml:space="preserve"> </w:t>
      </w:r>
      <w:r>
        <w:rPr>
          <w:i/>
          <w:iCs/>
        </w:rPr>
        <w:t xml:space="preserve">sufficient statistic</w:t>
      </w:r>
      <w:r>
        <w:t xml:space="preserve"> </w:t>
      </w:r>
      <w:r>
        <w:t xml:space="preserve">membutuhkan asumsi yang sering tidak terverifikasi. Kedua, Z-test mengasumsikan distribusi normal yang diketahui parameternya, padahal</w:t>
      </w:r>
      <w:r>
        <w:t xml:space="preserve"> </w:t>
      </w:r>
      <w:r>
        <w:rPr>
          <w:i/>
          <w:iCs/>
        </w:rPr>
        <w:t xml:space="preserve">sampling distribution</w:t>
      </w:r>
      <w:r>
        <w:t xml:space="preserve"> </w:t>
      </w:r>
      <w:r>
        <w:t xml:space="preserve">dari</w:t>
      </w:r>
      <w:r>
        <w:t xml:space="preserve"> </w:t>
      </w:r>
      <w:r>
        <w:rPr>
          <w:i/>
          <w:iCs/>
        </w:rPr>
        <w:t xml:space="preserve">mean</w:t>
      </w:r>
      <w:r>
        <w:t xml:space="preserve"> </w:t>
      </w:r>
      <w:r>
        <w:t xml:space="preserve">Likert pada n = 212 belum tentu normal tanpa pengujian eksplisit. Ketiga — dan ini paling fundamental — penulis melaporkan menggunakan</w:t>
      </w:r>
      <w:r>
        <w:t xml:space="preserve"> </w:t>
      </w:r>
      <w:r>
        <w:rPr>
          <w:i/>
          <w:iCs/>
        </w:rPr>
        <w:t xml:space="preserve">Kolmogorov-Smirnov test</w:t>
      </w:r>
      <w:r>
        <w:t xml:space="preserve"> </w:t>
      </w:r>
      <w:r>
        <w:t xml:space="preserve">sebagai bagian dari analisis.</w:t>
      </w:r>
      <w:r>
        <w:t xml:space="preserve"> </w:t>
      </w:r>
      <w:r>
        <w:rPr>
          <w:b/>
          <w:bCs/>
        </w:rPr>
        <w:t xml:space="preserve">K-S test sebenarnya menguji</w:t>
      </w:r>
      <w:r>
        <w:rPr>
          <w:b/>
          <w:bCs/>
        </w:rPr>
        <w:t xml:space="preserve"> </w:t>
      </w:r>
      <w:r>
        <w:rPr>
          <w:b/>
          <w:bCs/>
          <w:i/>
          <w:iCs/>
        </w:rPr>
        <w:t xml:space="preserve">kesesuaian distribusi</w:t>
      </w:r>
      <w:r>
        <w:rPr>
          <w:b/>
          <w:bCs/>
        </w:rPr>
        <w:t xml:space="preserve"> </w:t>
      </w:r>
      <w:r>
        <w:rPr>
          <w:b/>
          <w:bCs/>
        </w:rPr>
        <w:t xml:space="preserve">(apakah sampel berasal dari distribusi yang dispesifikasi),</w:t>
      </w:r>
      <w:r>
        <w:rPr>
          <w:b/>
          <w:bCs/>
        </w:rPr>
        <w:t xml:space="preserve"> </w:t>
      </w:r>
      <w:r>
        <w:rPr>
          <w:b/>
          <w:bCs/>
          <w:i/>
          <w:iCs/>
        </w:rPr>
        <w:t xml:space="preserve">bukan</w:t>
      </w:r>
      <w:r>
        <w:rPr>
          <w:b/>
          <w:bCs/>
        </w:rPr>
        <w:t xml:space="preserve"> </w:t>
      </w:r>
      <w:r>
        <w:rPr>
          <w:b/>
          <w:bCs/>
        </w:rPr>
        <w:t xml:space="preserve">hipotesis tentang</w:t>
      </w:r>
      <w:r>
        <w:rPr>
          <w:b/>
          <w:bCs/>
        </w:rPr>
        <w:t xml:space="preserve"> </w:t>
      </w:r>
      <w:r>
        <w:rPr>
          <w:b/>
          <w:bCs/>
          <w:i/>
          <w:iCs/>
        </w:rPr>
        <w:t xml:space="preserve">means</w:t>
      </w:r>
      <w:r>
        <w:rPr>
          <w:b/>
          <w:bCs/>
        </w:rPr>
        <w:t xml:space="preserve">.</w:t>
      </w:r>
      <w:r>
        <w:t xml:space="preserve"> </w:t>
      </w:r>
      <w:r>
        <w:t xml:space="preserve">Penggunaan K-S sebagai pengganti uji</w:t>
      </w:r>
      <w:r>
        <w:t xml:space="preserve"> </w:t>
      </w:r>
      <w:r>
        <w:rPr>
          <w:i/>
          <w:iCs/>
        </w:rPr>
        <w:t xml:space="preserve">means</w:t>
      </w:r>
      <w:r>
        <w:t xml:space="preserve"> </w:t>
      </w:r>
      <w:r>
        <w:t xml:space="preserve">mencerminkan kebingungan metodologis. Hasil Z = 5,342–5,745 dengan p &lt; 0,001 yang dilaporkan menjadi sulit diinterpretasi karena kerangka statistik yang digunakan tidak konsisten dengan klaim yang dibuat. Pilihan yang lebih tepat adalah</w:t>
      </w:r>
      <w:r>
        <w:t xml:space="preserve"> </w:t>
      </w:r>
      <w:r>
        <w:rPr>
          <w:i/>
          <w:iCs/>
        </w:rPr>
        <w:t xml:space="preserve">t-test</w:t>
      </w:r>
      <w:r>
        <w:t xml:space="preserve"> </w:t>
      </w:r>
      <w:r>
        <w:t xml:space="preserve">satu sampel atau</w:t>
      </w:r>
      <w:r>
        <w:t xml:space="preserve"> </w:t>
      </w:r>
      <w:r>
        <w:rPr>
          <w:i/>
          <w:iCs/>
        </w:rPr>
        <w:t xml:space="preserve">non-parametric Wilcoxon signed-rank test</w:t>
      </w:r>
      <w:r>
        <w:t xml:space="preserve"> </w:t>
      </w:r>
      <w:r>
        <w:t xml:space="preserve">— keduanya tidak digunakan.</w:t>
      </w:r>
    </w:p>
    <w:p>
      <w:pPr>
        <w:pStyle w:val="BodyText"/>
      </w:pPr>
      <w:r>
        <w:t xml:space="preserve">Bukti masalah ini terlihat langsung pada</w:t>
      </w:r>
      <w:r>
        <w:t xml:space="preserve"> </w:t>
      </w:r>
      <w:r>
        <w:rPr>
          <w:b/>
          <w:bCs/>
        </w:rPr>
        <w:t xml:space="preserve">Tabel 2, Tabel 3, dan Tabel 4 yang telah disajikan di §3</w:t>
      </w:r>
      <w:r>
        <w:t xml:space="preserve"> </w:t>
      </w:r>
      <w:r>
        <w:t xml:space="preserve">beserta output KS-test berpasangannya. Ketiga tabel tersebut menggunakan prosedur</w:t>
      </w:r>
      <w:r>
        <w:t xml:space="preserve"> </w:t>
      </w:r>
      <w:r>
        <w:rPr>
          <w:i/>
          <w:iCs/>
        </w:rPr>
        <w:t xml:space="preserve">One-Sample Kolmogorov-Smirnov</w:t>
      </w:r>
      <w:r>
        <w:t xml:space="preserve"> </w:t>
      </w:r>
      <w:r>
        <w:t xml:space="preserve">(Z = 5,342; 5,677; 5,745) — padahal K-S adalah uji</w:t>
      </w:r>
      <w:r>
        <w:t xml:space="preserve"> </w:t>
      </w:r>
      <w:r>
        <w:rPr>
          <w:i/>
          <w:iCs/>
        </w:rPr>
        <w:t xml:space="preserve">normalitas distribusi</w:t>
      </w:r>
      <w:r>
        <w:t xml:space="preserve">, bukan uji hipotesis tentang</w:t>
      </w:r>
      <w:r>
        <w:t xml:space="preserve"> </w:t>
      </w:r>
      <w:r>
        <w:rPr>
          <w:i/>
          <w:iCs/>
        </w:rPr>
        <w:t xml:space="preserve">mean</w:t>
      </w:r>
      <w:r>
        <w:t xml:space="preserve">. Penolakan H₀ yang dilaporkan secara metodologis tidak sah dari prosedur yang dijalankan; output K-S menunjukkan distribusi Likert tidak normal (yang memang sudah diharapkan untuk data ordinal lima-titik), bukan bahwa strategic fit</w:t>
      </w:r>
      <w:r>
        <w:t xml:space="preserve"> </w:t>
      </w:r>
      <w:r>
        <w:rPr>
          <w:i/>
          <w:iCs/>
        </w:rPr>
        <w:t xml:space="preserve">menyebabkan</w:t>
      </w:r>
      <w:r>
        <w:t xml:space="preserve"> </w:t>
      </w:r>
      <w:r>
        <w:t xml:space="preserve">organizational effectiveness.</w:t>
      </w:r>
    </w:p>
    <w:bookmarkEnd w:id="51"/>
    <w:bookmarkStart w:id="52" w:name="tidak-ada-validitasreliabilitas-konstruk"/>
    <w:p>
      <w:pPr>
        <w:pStyle w:val="Heading3"/>
      </w:pPr>
      <w:r>
        <w:t xml:space="preserve">Tidak Ada Validitas/Reliabilitas Konstruk</w:t>
      </w:r>
    </w:p>
    <w:p>
      <w:pPr>
        <w:pStyle w:val="FirstParagraph"/>
      </w:pPr>
      <w:r>
        <w:t xml:space="preserve">Limitasi keempat adalah ketiadaan disclosure terhadap</w:t>
      </w:r>
      <w:r>
        <w:t xml:space="preserve"> </w:t>
      </w:r>
      <w:r>
        <w:rPr>
          <w:i/>
          <w:iCs/>
        </w:rPr>
        <w:t xml:space="preserve">validity</w:t>
      </w:r>
      <w:r>
        <w:t xml:space="preserve"> </w:t>
      </w:r>
      <w:r>
        <w:t xml:space="preserve">dan</w:t>
      </w:r>
      <w:r>
        <w:t xml:space="preserve"> </w:t>
      </w:r>
      <w:r>
        <w:rPr>
          <w:i/>
          <w:iCs/>
        </w:rPr>
        <w:t xml:space="preserve">reliability</w:t>
      </w:r>
      <w:r>
        <w:t xml:space="preserve"> </w:t>
      </w:r>
      <w:r>
        <w:t xml:space="preserve">konstruk. Untuk uji statistik atas</w:t>
      </w:r>
      <w:r>
        <w:t xml:space="preserve"> </w:t>
      </w:r>
      <w:r>
        <w:rPr>
          <w:i/>
          <w:iCs/>
        </w:rPr>
        <w:t xml:space="preserve">strategic fit</w:t>
      </w:r>
      <w:r>
        <w:t xml:space="preserve">,</w:t>
      </w:r>
      <w:r>
        <w:t xml:space="preserve"> </w:t>
      </w:r>
      <w:r>
        <w:rPr>
          <w:i/>
          <w:iCs/>
        </w:rPr>
        <w:t xml:space="preserve">4Cs</w:t>
      </w:r>
      <w:r>
        <w:t xml:space="preserve">,</w:t>
      </w:r>
      <w:r>
        <w:t xml:space="preserve"> </w:t>
      </w:r>
      <w:r>
        <w:rPr>
          <w:i/>
          <w:iCs/>
        </w:rPr>
        <w:t xml:space="preserve">organization design</w:t>
      </w:r>
      <w:r>
        <w:t xml:space="preserve">,</w:t>
      </w:r>
      <w:r>
        <w:t xml:space="preserve"> </w:t>
      </w:r>
      <w:r>
        <w:rPr>
          <w:i/>
          <w:iCs/>
        </w:rPr>
        <w:t xml:space="preserve">employee relations</w:t>
      </w:r>
      <w:r>
        <w:t xml:space="preserve">,</w:t>
      </w:r>
      <w:r>
        <w:t xml:space="preserve"> </w:t>
      </w:r>
      <w:r>
        <w:rPr>
          <w:i/>
          <w:iCs/>
        </w:rPr>
        <w:t xml:space="preserve">information exchange</w:t>
      </w:r>
      <w:r>
        <w:t xml:space="preserve">, dan</w:t>
      </w:r>
      <w:r>
        <w:t xml:space="preserve"> </w:t>
      </w:r>
      <w:r>
        <w:rPr>
          <w:i/>
          <w:iCs/>
        </w:rPr>
        <w:t xml:space="preserve">organizational effectiveness</w:t>
      </w:r>
      <w:r>
        <w:t xml:space="preserve">, pembaca akan mengharapkan informasi tentang</w:t>
      </w:r>
      <w:r>
        <w:t xml:space="preserve"> </w:t>
      </w:r>
      <w:r>
        <w:rPr>
          <w:i/>
          <w:iCs/>
        </w:rPr>
        <w:t xml:space="preserve">Cronbach’s alpha</w:t>
      </w:r>
      <w:r>
        <w:t xml:space="preserve"> </w:t>
      </w:r>
      <w:r>
        <w:t xml:space="preserve">untuk setiap konstruk, hasil</w:t>
      </w:r>
      <w:r>
        <w:t xml:space="preserve"> </w:t>
      </w:r>
      <w:r>
        <w:rPr>
          <w:i/>
          <w:iCs/>
        </w:rPr>
        <w:t xml:space="preserve">Exploratory Factor Analysis</w:t>
      </w:r>
      <w:r>
        <w:t xml:space="preserve"> </w:t>
      </w:r>
      <w:r>
        <w:t xml:space="preserve">atau</w:t>
      </w:r>
      <w:r>
        <w:t xml:space="preserve"> </w:t>
      </w:r>
      <w:r>
        <w:rPr>
          <w:i/>
          <w:iCs/>
        </w:rPr>
        <w:t xml:space="preserve">Confirmatory Factor Analysis</w:t>
      </w:r>
      <w:r>
        <w:t xml:space="preserve"> </w:t>
      </w:r>
      <w:r>
        <w:t xml:space="preserve">yang menunjukkan struktur faktor,</w:t>
      </w:r>
      <w:r>
        <w:t xml:space="preserve"> </w:t>
      </w:r>
      <w:r>
        <w:rPr>
          <w:i/>
          <w:iCs/>
        </w:rPr>
        <w:t xml:space="preserve">Average Variance Extracted</w:t>
      </w:r>
      <w:r>
        <w:t xml:space="preserve"> </w:t>
      </w:r>
      <w:r>
        <w:t xml:space="preserve">untuk</w:t>
      </w:r>
      <w:r>
        <w:t xml:space="preserve"> </w:t>
      </w:r>
      <w:r>
        <w:rPr>
          <w:i/>
          <w:iCs/>
        </w:rPr>
        <w:t xml:space="preserve">convergent validity</w:t>
      </w:r>
      <w:r>
        <w:t xml:space="preserve">,</w:t>
      </w:r>
      <w:r>
        <w:t xml:space="preserve"> </w:t>
      </w:r>
      <w:r>
        <w:rPr>
          <w:i/>
          <w:iCs/>
        </w:rPr>
        <w:t xml:space="preserve">Heterotrait-Monotrait ratio</w:t>
      </w:r>
      <w:r>
        <w:t xml:space="preserve"> </w:t>
      </w:r>
      <w:r>
        <w:t xml:space="preserve">untuk</w:t>
      </w:r>
      <w:r>
        <w:t xml:space="preserve"> </w:t>
      </w:r>
      <w:r>
        <w:rPr>
          <w:i/>
          <w:iCs/>
        </w:rPr>
        <w:t xml:space="preserve">discriminant validity</w:t>
      </w:r>
      <w:r>
        <w:t xml:space="preserve">.</w:t>
      </w:r>
      <w:r>
        <w:t xml:space="preserve"> </w:t>
      </w:r>
      <w:r>
        <w:rPr>
          <w:b/>
          <w:bCs/>
        </w:rPr>
        <w:t xml:space="preserve">Tidak satupun dari indikator psikometrik ini dilaporkan dalam artikel.</w:t>
      </w:r>
      <w:r>
        <w:t xml:space="preserve"> </w:t>
      </w:r>
      <w:r>
        <w:t xml:space="preserve">Konsekuensinya, pembaca tidak mengetahui apakah item-item kuesioner benar-benar mengukur konstruk yang dimaksud, apakah ada</w:t>
      </w:r>
      <w:r>
        <w:t xml:space="preserve"> </w:t>
      </w:r>
      <w:r>
        <w:rPr>
          <w:i/>
          <w:iCs/>
        </w:rPr>
        <w:t xml:space="preserve">cross-loadings</w:t>
      </w:r>
      <w:r>
        <w:t xml:space="preserve"> </w:t>
      </w:r>
      <w:r>
        <w:t xml:space="preserve">yang merusak interpretasi faktor, atau apakah skala memiliki reliabilitas internal yang memadai. Prinsip</w:t>
      </w:r>
      <w:r>
        <w:t xml:space="preserve"> </w:t>
      </w:r>
      <w:r>
        <w:t xml:space="preserve">“</w:t>
      </w:r>
      <w:r>
        <w:rPr>
          <w:i/>
          <w:iCs/>
        </w:rPr>
        <w:t xml:space="preserve">garbage in, garbage out</w:t>
      </w:r>
      <w:r>
        <w:t xml:space="preserve">”</w:t>
      </w:r>
      <w:r>
        <w:t xml:space="preserve"> </w:t>
      </w:r>
      <w:r>
        <w:t xml:space="preserve">berlaku: uji statistik yang canggih tidak menyelamatkan klaim yang dibangun di atas pengukuran yang tidak divalidasi. Bagi</w:t>
      </w:r>
      <w:r>
        <w:t xml:space="preserve"> </w:t>
      </w:r>
      <w:r>
        <w:rPr>
          <w:i/>
          <w:iCs/>
        </w:rPr>
        <w:t xml:space="preserve">replication research</w:t>
      </w:r>
      <w:r>
        <w:t xml:space="preserve"> </w:t>
      </w:r>
      <w:r>
        <w:t xml:space="preserve">yang mungkin diinginkan oleh peneliti lanjutan, ketiadaan disclosure ini juga membatasi kemampuan untuk mereplikasi penelitian — kuesioner lengkap, prosedur pengkodean, dan output statistik tidak disertakan sebagai</w:t>
      </w:r>
      <w:r>
        <w:t xml:space="preserve"> </w:t>
      </w:r>
      <w:r>
        <w:rPr>
          <w:i/>
          <w:iCs/>
        </w:rPr>
        <w:t xml:space="preserve">supplementary materials</w:t>
      </w:r>
      <w:r>
        <w:t xml:space="preserve">. Konsekuensinya, pengetahuan yang dihasilkan artikel sulit diakumulasi dalam komunitas riset karena pengulas dan peneliti lanjutan tidak memiliki bahan mentah untuk verifikasi atau perluasan.</w:t>
      </w:r>
    </w:p>
    <w:bookmarkEnd w:id="52"/>
    <w:bookmarkStart w:id="53" w:name="basis-empiris-nigeria-spesifik"/>
    <w:p>
      <w:pPr>
        <w:pStyle w:val="Heading3"/>
      </w:pPr>
      <w:r>
        <w:t xml:space="preserve">Basis Empiris Nigeria-Spesifik</w:t>
      </w:r>
    </w:p>
    <w:p>
      <w:pPr>
        <w:pStyle w:val="FirstParagraph"/>
      </w:pPr>
      <w:r>
        <w:t xml:space="preserve">Limitasi kelima adalah keterbatasan generalisasi yang ditentukan oleh basis empiris. Sampel artikel terdiri atas tiga operator telekomunikasi Nigeria — MTN, Airtel, Etisalat — dan satu bank — Ecobank. Distribusi pre-Yamane adalah 300 responden dari sektor telekomunikasi dan 150 dari sektor perbankan, lalu dipangkas menjadi 212 berdasarkan formula Yamane (e = 0,05). Komposisi sampel ini bersifat</w:t>
      </w:r>
      <w:r>
        <w:t xml:space="preserve"> </w:t>
      </w:r>
      <w:r>
        <w:rPr>
          <w:i/>
          <w:iCs/>
        </w:rPr>
        <w:t xml:space="preserve">country-specific</w:t>
      </w:r>
      <w:r>
        <w:t xml:space="preserve"> </w:t>
      </w:r>
      <w:r>
        <w:t xml:space="preserve">(Nigeria),</w:t>
      </w:r>
      <w:r>
        <w:t xml:space="preserve"> </w:t>
      </w:r>
      <w:r>
        <w:rPr>
          <w:i/>
          <w:iCs/>
        </w:rPr>
        <w:t xml:space="preserve">sector-concentrated</w:t>
      </w:r>
      <w:r>
        <w:t xml:space="preserve"> </w:t>
      </w:r>
      <w:r>
        <w:t xml:space="preserve">(telekomunikasi dan perbankan), dan</w:t>
      </w:r>
      <w:r>
        <w:t xml:space="preserve"> </w:t>
      </w:r>
      <w:r>
        <w:rPr>
          <w:i/>
          <w:iCs/>
        </w:rPr>
        <w:t xml:space="preserve">firm-specific</w:t>
      </w:r>
      <w:r>
        <w:t xml:space="preserve"> </w:t>
      </w:r>
      <w:r>
        <w:t xml:space="preserve">(empat perusahaan saja). Generalisasi ke konteks negara lain — termasuk Indonesia — memerlukan asumsi</w:t>
      </w:r>
      <w:r>
        <w:t xml:space="preserve"> </w:t>
      </w:r>
      <w:r>
        <w:rPr>
          <w:i/>
          <w:iCs/>
        </w:rPr>
        <w:t xml:space="preserve">institutional similarity</w:t>
      </w:r>
      <w:r>
        <w:t xml:space="preserve"> </w:t>
      </w:r>
      <w:r>
        <w:t xml:space="preserve">yang tidak diuji penulis. Industri telekomunikasi Nigeria pada 2014 memiliki struktur kompetitif yang spesifik (regulasi spektrum,</w:t>
      </w:r>
      <w:r>
        <w:t xml:space="preserve"> </w:t>
      </w:r>
      <w:r>
        <w:rPr>
          <w:i/>
          <w:iCs/>
        </w:rPr>
        <w:t xml:space="preserve">call drop rate</w:t>
      </w:r>
      <w:r>
        <w:t xml:space="preserve"> </w:t>
      </w:r>
      <w:r>
        <w:t xml:space="preserve">tinggi,</w:t>
      </w:r>
      <w:r>
        <w:t xml:space="preserve"> </w:t>
      </w:r>
      <w:r>
        <w:rPr>
          <w:i/>
          <w:iCs/>
        </w:rPr>
        <w:t xml:space="preserve">energy infrastructure</w:t>
      </w:r>
      <w:r>
        <w:t xml:space="preserve"> </w:t>
      </w:r>
      <w:r>
        <w:t xml:space="preserve">yang lemah), sektor perbankan Nigeria saat itu pasca-krisis 2009 dengan konsolidasi yang masih berjalan. Indonesia memiliki struktur yang berbeda secara substantif. Tanpa diskusi tentang</w:t>
      </w:r>
      <w:r>
        <w:t xml:space="preserve"> </w:t>
      </w:r>
      <w:r>
        <w:rPr>
          <w:i/>
          <w:iCs/>
        </w:rPr>
        <w:t xml:space="preserve">boundary conditions</w:t>
      </w:r>
      <w:r>
        <w:t xml:space="preserve"> </w:t>
      </w:r>
      <w:r>
        <w:t xml:space="preserve">— kapan kerangka</w:t>
      </w:r>
      <w:r>
        <w:t xml:space="preserve"> </w:t>
      </w:r>
      <w:r>
        <w:rPr>
          <w:i/>
          <w:iCs/>
        </w:rPr>
        <w:t xml:space="preserve">4Cs</w:t>
      </w:r>
      <w:r>
        <w:t xml:space="preserve"> </w:t>
      </w:r>
      <w:r>
        <w:t xml:space="preserve">berlaku dan kapan tidak — klaim</w:t>
      </w:r>
      <w:r>
        <w:t xml:space="preserve"> </w:t>
      </w:r>
      <w:r>
        <w:rPr>
          <w:i/>
          <w:iCs/>
        </w:rPr>
        <w:t xml:space="preserve">generalizability</w:t>
      </w:r>
      <w:r>
        <w:t xml:space="preserve"> </w:t>
      </w:r>
      <w:r>
        <w:t xml:space="preserve">artikel terlalu ambisius. Pembaca lokal harus melakukan</w:t>
      </w:r>
      <w:r>
        <w:t xml:space="preserve"> </w:t>
      </w:r>
      <w:r>
        <w:rPr>
          <w:i/>
          <w:iCs/>
        </w:rPr>
        <w:t xml:space="preserve">contextualization</w:t>
      </w:r>
      <w:r>
        <w:t xml:space="preserve"> </w:t>
      </w:r>
      <w:r>
        <w:t xml:space="preserve">yang serius sebelum menerapkan kerangka.</w:t>
      </w:r>
    </w:p>
    <w:bookmarkEnd w:id="53"/>
    <w:bookmarkStart w:id="54" w:name="methodological-disclosure-yang-minim"/>
    <w:p>
      <w:pPr>
        <w:pStyle w:val="Heading3"/>
      </w:pPr>
      <w:r>
        <w:t xml:space="preserve">Methodological Disclosure yang Minim</w:t>
      </w:r>
    </w:p>
    <w:p>
      <w:pPr>
        <w:pStyle w:val="FirstParagraph"/>
      </w:pPr>
      <w:r>
        <w:t xml:space="preserve">Limitasi keenam — yang melengkapi lima limitasi sebelumnya — adalah minimnya</w:t>
      </w:r>
      <w:r>
        <w:t xml:space="preserve"> </w:t>
      </w:r>
      <w:r>
        <w:rPr>
          <w:i/>
          <w:iCs/>
        </w:rPr>
        <w:t xml:space="preserve">methodological disclosure</w:t>
      </w:r>
      <w:r>
        <w:t xml:space="preserve"> </w:t>
      </w:r>
      <w:r>
        <w:t xml:space="preserve">secara umum.</w:t>
      </w:r>
      <w:r>
        <w:t xml:space="preserve"> </w:t>
      </w:r>
      <w:r>
        <w:rPr>
          <w:b/>
          <w:bCs/>
        </w:rPr>
        <w:t xml:space="preserve">Profil demografis responden tidak dilaporkan</w:t>
      </w:r>
      <w:r>
        <w:t xml:space="preserve"> </w:t>
      </w:r>
      <w:r>
        <w:t xml:space="preserve">(usia, masa kerja, level jabatan, gender,</w:t>
      </w:r>
      <w:r>
        <w:t xml:space="preserve"> </w:t>
      </w:r>
      <w:r>
        <w:rPr>
          <w:i/>
          <w:iCs/>
        </w:rPr>
        <w:t xml:space="preserve">educational background</w:t>
      </w:r>
      <w:r>
        <w:t xml:space="preserve">).</w:t>
      </w:r>
      <w:r>
        <w:t xml:space="preserve"> </w:t>
      </w:r>
      <w:r>
        <w:rPr>
          <w:i/>
          <w:iCs/>
        </w:rPr>
        <w:t xml:space="preserve">Sampling frame</w:t>
      </w:r>
      <w:r>
        <w:t xml:space="preserve"> </w:t>
      </w:r>
      <w:r>
        <w:t xml:space="preserve">tidak dijelaskan — apakah daftar karyawan diakses melalui HR,</w:t>
      </w:r>
      <w:r>
        <w:t xml:space="preserve"> </w:t>
      </w:r>
      <w:r>
        <w:rPr>
          <w:i/>
          <w:iCs/>
        </w:rPr>
        <w:t xml:space="preserve">snowball</w:t>
      </w:r>
      <w:r>
        <w:t xml:space="preserve">, atau</w:t>
      </w:r>
      <w:r>
        <w:t xml:space="preserve"> </w:t>
      </w:r>
      <w:r>
        <w:rPr>
          <w:i/>
          <w:iCs/>
        </w:rPr>
        <w:t xml:space="preserve">convenience sampling</w:t>
      </w:r>
      <w:r>
        <w:t xml:space="preserve">.</w:t>
      </w:r>
      <w:r>
        <w:t xml:space="preserve"> </w:t>
      </w:r>
      <w:r>
        <w:rPr>
          <w:i/>
          <w:iCs/>
        </w:rPr>
        <w:t xml:space="preserve">Response rate</w:t>
      </w:r>
      <w:r>
        <w:t xml:space="preserve"> </w:t>
      </w:r>
      <w:r>
        <w:t xml:space="preserve">tidak disebutkan — apakah 212 responden adalah hasil distribusi 300 kuesioner atau 1.000 kuesioner. Mekanisme distribusi (langsung,</w:t>
      </w:r>
      <w:r>
        <w:t xml:space="preserve"> </w:t>
      </w:r>
      <w:r>
        <w:rPr>
          <w:i/>
          <w:iCs/>
        </w:rPr>
        <w:t xml:space="preserve">online</w:t>
      </w:r>
      <w:r>
        <w:t xml:space="preserve">, melalui atasan) tidak diuraikan. Item-item kuesioner tidak dilampirkan. Pertanyaan wawancara — meskipun penulis menyebut</w:t>
      </w:r>
      <w:r>
        <w:t xml:space="preserve"> </w:t>
      </w:r>
      <w:r>
        <w:t xml:space="preserve">“</w:t>
      </w:r>
      <w:r>
        <w:rPr>
          <w:i/>
          <w:iCs/>
        </w:rPr>
        <w:t xml:space="preserve">survey + interview</w:t>
      </w:r>
      <w:r>
        <w:t xml:space="preserve">”</w:t>
      </w:r>
      <w:r>
        <w:t xml:space="preserve"> </w:t>
      </w:r>
      <w:r>
        <w:t xml:space="preserve">— tidak ditampilkan dalam apendiks. Ketiadaan disclosure ini bukan hanya isu kelengkapan artikel; ia merupakan isu</w:t>
      </w:r>
      <w:r>
        <w:t xml:space="preserve"> </w:t>
      </w:r>
      <w:r>
        <w:rPr>
          <w:i/>
          <w:iCs/>
        </w:rPr>
        <w:t xml:space="preserve">reproducibility</w:t>
      </w:r>
      <w:r>
        <w:t xml:space="preserve"> </w:t>
      </w:r>
      <w:r>
        <w:t xml:space="preserve">yang menjadi pilar fundamental ilmu sosial pasca-replikasi-krisis. Tanpa transparansi metodologis yang memadai, pembaca tidak dapat menilai</w:t>
      </w:r>
      <w:r>
        <w:t xml:space="preserve"> </w:t>
      </w:r>
      <w:r>
        <w:rPr>
          <w:i/>
          <w:iCs/>
        </w:rPr>
        <w:t xml:space="preserve">internal validity</w:t>
      </w:r>
      <w:r>
        <w:t xml:space="preserve"> </w:t>
      </w:r>
      <w:r>
        <w:t xml:space="preserve">studi, peneliti lanjutan tidak dapat mereplikasi, dan reviewer kritis tidak dapat memverifikasi klaim. Limitasi ini, dikombinasikan dengan lima limitasi sebelumnya, secara kumulatif menggeser klaim kausal artikel dari</w:t>
      </w:r>
      <w:r>
        <w:t xml:space="preserve"> </w:t>
      </w:r>
      <w:r>
        <w:rPr>
          <w:i/>
          <w:iCs/>
        </w:rPr>
        <w:t xml:space="preserve">evidence-based</w:t>
      </w:r>
      <w:r>
        <w:t xml:space="preserve"> </w:t>
      </w:r>
      <w:r>
        <w:t xml:space="preserve">menjadi</w:t>
      </w:r>
      <w:r>
        <w:t xml:space="preserve"> </w:t>
      </w:r>
      <w:r>
        <w:rPr>
          <w:i/>
          <w:iCs/>
        </w:rPr>
        <w:t xml:space="preserve">suggestive only</w:t>
      </w:r>
      <w:r>
        <w:t xml:space="preserve">. Pembaca akademis yang ingin menjadikan artikel ini referensi utama perlu menyadari bahwa basis empirisnya tidak cukup transparan untuk mendukung klaim sekuat yang disampaikan penulis pada kesimpulan.</w:t>
      </w:r>
    </w:p>
    <w:bookmarkEnd w:id="54"/>
    <w:bookmarkEnd w:id="55"/>
    <w:bookmarkStart w:id="62" w:name="evaluasi-kritis"/>
    <w:p>
      <w:pPr>
        <w:pStyle w:val="Heading2"/>
      </w:pPr>
      <w:r>
        <w:t xml:space="preserve">§7 Evaluasi Kritis</w:t>
      </w:r>
    </w:p>
    <w:bookmarkStart w:id="56" w:name="X460c2c6ee4a937c50b6287da71ecbbf1d359629"/>
    <w:p>
      <w:pPr>
        <w:pStyle w:val="Heading3"/>
      </w:pPr>
      <w:r>
        <w:t xml:space="preserve">Konflasi</w:t>
      </w:r>
      <w:r>
        <w:t xml:space="preserve"> </w:t>
      </w:r>
      <w:r>
        <w:rPr>
          <w:i/>
          <w:iCs/>
        </w:rPr>
        <w:t xml:space="preserve">Sustainability</w:t>
      </w:r>
      <w:r>
        <w:t xml:space="preserve"> </w:t>
      </w:r>
      <w:r>
        <w:t xml:space="preserve">dan</w:t>
      </w:r>
      <w:r>
        <w:t xml:space="preserve"> </w:t>
      </w:r>
      <w:r>
        <w:rPr>
          <w:i/>
          <w:iCs/>
        </w:rPr>
        <w:t xml:space="preserve">Sustained Competitive Advantage</w:t>
      </w:r>
    </w:p>
    <w:p>
      <w:pPr>
        <w:pStyle w:val="FirstParagraph"/>
      </w:pPr>
      <w:r>
        <w:rPr>
          <w:b/>
          <w:bCs/>
        </w:rPr>
        <w:t xml:space="preserve">Critique inti #1 yang paling penting</w:t>
      </w:r>
      <w:r>
        <w:t xml:space="preserve"> </w:t>
      </w:r>
      <w:r>
        <w:t xml:space="preserve">dalam evaluasi artikel ini adalah konflasi antara</w:t>
      </w:r>
      <w:r>
        <w:t xml:space="preserve"> </w:t>
      </w:r>
      <w:r>
        <w:rPr>
          <w:i/>
          <w:iCs/>
        </w:rPr>
        <w:t xml:space="preserve">sustainability</w:t>
      </w:r>
      <w:r>
        <w:t xml:space="preserve"> </w:t>
      </w:r>
      <w:r>
        <w:t xml:space="preserve">dan</w:t>
      </w:r>
      <w:r>
        <w:t xml:space="preserve"> </w:t>
      </w:r>
      <w:r>
        <w:rPr>
          <w:i/>
          <w:iCs/>
        </w:rPr>
        <w:t xml:space="preserve">sustained competitive advantage</w:t>
      </w:r>
      <w:r>
        <w:t xml:space="preserve">. Judul artikel menjanjikan analisis</w:t>
      </w:r>
      <w:r>
        <w:t xml:space="preserve"> </w:t>
      </w:r>
      <w:r>
        <w:rPr>
          <w:i/>
          <w:iCs/>
        </w:rPr>
        <w:t xml:space="preserve">sustainability</w:t>
      </w:r>
      <w:r>
        <w:t xml:space="preserve"> </w:t>
      </w:r>
      <w:r>
        <w:t xml:space="preserve">sebagai konsep tersendiri yang dipasangkan dengan</w:t>
      </w:r>
      <w:r>
        <w:t xml:space="preserve"> </w:t>
      </w:r>
      <w:r>
        <w:rPr>
          <w:i/>
          <w:iCs/>
        </w:rPr>
        <w:t xml:space="preserve">strategic fit</w:t>
      </w:r>
      <w:r>
        <w:t xml:space="preserve"> </w:t>
      </w:r>
      <w:r>
        <w:t xml:space="preserve">untuk memprediksi</w:t>
      </w:r>
      <w:r>
        <w:t xml:space="preserve"> </w:t>
      </w:r>
      <w:r>
        <w:rPr>
          <w:i/>
          <w:iCs/>
        </w:rPr>
        <w:t xml:space="preserve">organizational effectiveness</w:t>
      </w:r>
      <w:r>
        <w:t xml:space="preserve">. Tubuh artikel — termasuk kerangka konseptual dan operasionalisasi — sebenarnya membahas</w:t>
      </w:r>
      <w:r>
        <w:t xml:space="preserve"> </w:t>
      </w:r>
      <w:r>
        <w:rPr>
          <w:i/>
          <w:iCs/>
        </w:rPr>
        <w:t xml:space="preserve">sustained competitive advantage</w:t>
      </w:r>
      <w:r>
        <w:t xml:space="preserve"> </w:t>
      </w:r>
      <w:r>
        <w:t xml:space="preserve">dalam pengertian Porter (1985, hlm. 198). Penulis mengutip definisi Porter secara</w:t>
      </w:r>
      <w:r>
        <w:t xml:space="preserve"> </w:t>
      </w:r>
      <w:r>
        <w:rPr>
          <w:i/>
          <w:iCs/>
        </w:rPr>
        <w:t xml:space="preserve">verbatim</w:t>
      </w:r>
      <w:r>
        <w:t xml:space="preserve"> </w:t>
      </w:r>
      <w:r>
        <w:t xml:space="preserve">tetapi tidak pernah memberikan definisi alternatif untuk</w:t>
      </w:r>
      <w:r>
        <w:t xml:space="preserve"> </w:t>
      </w:r>
      <w:r>
        <w:rPr>
          <w:i/>
          <w:iCs/>
        </w:rPr>
        <w:t xml:space="preserve">sustainability</w:t>
      </w:r>
      <w:r>
        <w:t xml:space="preserve"> </w:t>
      </w:r>
      <w:r>
        <w:t xml:space="preserve">yang membedakannya dari SCA. Konsekuensi konflasi ini berlapis.</w:t>
      </w:r>
      <w:r>
        <w:t xml:space="preserve"> </w:t>
      </w:r>
      <w:r>
        <w:rPr>
          <w:b/>
          <w:bCs/>
        </w:rPr>
        <w:t xml:space="preserve">Pertama, bila penulis memang bermaksud membahas TBL sustainability</w:t>
      </w:r>
      <w:r>
        <w:t xml:space="preserve"> </w:t>
      </w:r>
      <w:r>
        <w:t xml:space="preserve">(Elkington 1997 — sebuah</w:t>
      </w:r>
      <w:r>
        <w:t xml:space="preserve"> </w:t>
      </w:r>
      <w:r>
        <w:rPr>
          <w:i/>
          <w:iCs/>
        </w:rPr>
        <w:t xml:space="preserve">external critical reference</w:t>
      </w:r>
      <w:r>
        <w:t xml:space="preserve"> </w:t>
      </w:r>
      <w:r>
        <w:t xml:space="preserve">yang tidak hadir dalam artikel), maka artikel ini secara struktural gagal: tidak ada konseptualisasi tentang dimensi</w:t>
      </w:r>
      <w:r>
        <w:t xml:space="preserve"> </w:t>
      </w:r>
      <w:r>
        <w:rPr>
          <w:i/>
          <w:iCs/>
        </w:rPr>
        <w:t xml:space="preserve">environmental</w:t>
      </w:r>
      <w:r>
        <w:t xml:space="preserve"> </w:t>
      </w:r>
      <w:r>
        <w:t xml:space="preserve">(jejak karbon,</w:t>
      </w:r>
      <w:r>
        <w:t xml:space="preserve"> </w:t>
      </w:r>
      <w:r>
        <w:rPr>
          <w:i/>
          <w:iCs/>
        </w:rPr>
        <w:t xml:space="preserve">resource efficiency</w:t>
      </w:r>
      <w:r>
        <w:t xml:space="preserve">), tidak ada dimensi</w:t>
      </w:r>
      <w:r>
        <w:t xml:space="preserve"> </w:t>
      </w:r>
      <w:r>
        <w:rPr>
          <w:i/>
          <w:iCs/>
        </w:rPr>
        <w:t xml:space="preserve">social</w:t>
      </w:r>
      <w:r>
        <w:t xml:space="preserve"> </w:t>
      </w:r>
      <w:r>
        <w:t xml:space="preserve">(kesejahteraan pekerja, hubungan komunitas,</w:t>
      </w:r>
      <w:r>
        <w:t xml:space="preserve"> </w:t>
      </w:r>
      <w:r>
        <w:rPr>
          <w:i/>
          <w:iCs/>
        </w:rPr>
        <w:t xml:space="preserve">human rights</w:t>
      </w:r>
      <w:r>
        <w:t xml:space="preserve">), tidak ada dimensi</w:t>
      </w:r>
      <w:r>
        <w:t xml:space="preserve"> </w:t>
      </w:r>
      <w:r>
        <w:rPr>
          <w:i/>
          <w:iCs/>
        </w:rPr>
        <w:t xml:space="preserve">economic</w:t>
      </w:r>
      <w:r>
        <w:t xml:space="preserve"> </w:t>
      </w:r>
      <w:r>
        <w:t xml:space="preserve">yang dibedakan dari</w:t>
      </w:r>
      <w:r>
        <w:t xml:space="preserve"> </w:t>
      </w:r>
      <w:r>
        <w:rPr>
          <w:i/>
          <w:iCs/>
        </w:rPr>
        <w:t xml:space="preserve">profitability</w:t>
      </w:r>
      <w:r>
        <w:t xml:space="preserve">.</w:t>
      </w:r>
      <w:r>
        <w:t xml:space="preserve"> </w:t>
      </w:r>
      <w:r>
        <w:rPr>
          <w:b/>
          <w:bCs/>
        </w:rPr>
        <w:t xml:space="preserve">Kedua, bila penulis memang membahas SCA</w:t>
      </w:r>
      <w:r>
        <w:t xml:space="preserve">, judul seharusnya tidak memakai istilah</w:t>
      </w:r>
      <w:r>
        <w:t xml:space="preserve"> </w:t>
      </w:r>
      <w:r>
        <w:rPr>
          <w:i/>
          <w:iCs/>
        </w:rPr>
        <w:t xml:space="preserve">sustainability</w:t>
      </w:r>
      <w:r>
        <w:t xml:space="preserve"> </w:t>
      </w:r>
      <w:r>
        <w:t xml:space="preserve">yang sejak akhir 1990-an memiliki konotasi spesifik dalam literatur manajemen kontemporer terkait isu lingkungan dan sosial. Pilihan judul yang lebih jujur adalah</w:t>
      </w:r>
      <w:r>
        <w:t xml:space="preserve"> </w:t>
      </w:r>
      <w:r>
        <w:rPr>
          <w:i/>
          <w:iCs/>
        </w:rPr>
        <w:t xml:space="preserve">Implication of Strategic Fit on Sustained Competitive Advantage and Organizational Effectiveness</w:t>
      </w:r>
      <w:r>
        <w:t xml:space="preserve">.</w:t>
      </w:r>
      <w:r>
        <w:t xml:space="preserve"> </w:t>
      </w:r>
      <w:r>
        <w:rPr>
          <w:b/>
          <w:bCs/>
        </w:rPr>
        <w:t xml:space="preserve">Konflasi ini bukan sekadar isu kosakata; ia membentuk seluruh pembacaan artikel dan menentukan apakah artikel relevan untuk diskusi</w:t>
      </w:r>
      <w:r>
        <w:rPr>
          <w:b/>
          <w:bCs/>
        </w:rPr>
        <w:t xml:space="preserve"> </w:t>
      </w:r>
      <w:r>
        <w:rPr>
          <w:b/>
          <w:bCs/>
          <w:i/>
          <w:iCs/>
        </w:rPr>
        <w:t xml:space="preserve">sustainable strategic management</w:t>
      </w:r>
      <w:r>
        <w:rPr>
          <w:b/>
          <w:bCs/>
        </w:rPr>
        <w:t xml:space="preserve"> </w:t>
      </w:r>
      <w:r>
        <w:rPr>
          <w:b/>
          <w:bCs/>
        </w:rPr>
        <w:t xml:space="preserve">yang menjadi agenda riset utama dekade 2020-an.</w:t>
      </w:r>
    </w:p>
    <w:bookmarkEnd w:id="56"/>
    <w:bookmarkStart w:id="57" w:name="eclecticism-teoretis-sebagai-kelemahan"/>
    <w:p>
      <w:pPr>
        <w:pStyle w:val="Heading3"/>
      </w:pPr>
      <w:r>
        <w:t xml:space="preserve">Eclecticism Teoretis sebagai Kelemahan</w:t>
      </w:r>
    </w:p>
    <w:p>
      <w:pPr>
        <w:pStyle w:val="FirstParagraph"/>
      </w:pPr>
      <w:r>
        <w:t xml:space="preserve">Kritik kedua menyangkut</w:t>
      </w:r>
      <w:r>
        <w:t xml:space="preserve"> </w:t>
      </w:r>
      <w:r>
        <w:rPr>
          <w:i/>
          <w:iCs/>
        </w:rPr>
        <w:t xml:space="preserve">eclecticism</w:t>
      </w:r>
      <w:r>
        <w:t xml:space="preserve"> </w:t>
      </w:r>
      <w:r>
        <w:t xml:space="preserve">teoretis. Penulis meminjam dari Porter (1985) untuk SCA, dari Miles dan Snow (1978) untuk tipologi strategi, dari Nadler dan Tushman (1980) untuk definisi</w:t>
      </w:r>
      <w:r>
        <w:t xml:space="preserve"> </w:t>
      </w:r>
      <w:r>
        <w:rPr>
          <w:i/>
          <w:iCs/>
        </w:rPr>
        <w:t xml:space="preserve">fit</w:t>
      </w:r>
      <w:r>
        <w:t xml:space="preserve">, dari Medcof (1997) untuk</w:t>
      </w:r>
      <w:r>
        <w:t xml:space="preserve"> </w:t>
      </w:r>
      <w:r>
        <w:rPr>
          <w:i/>
          <w:iCs/>
        </w:rPr>
        <w:t xml:space="preserve">4Cs</w:t>
      </w:r>
      <w:r>
        <w:t xml:space="preserve">, dari Doty, Glick, dan Huber (1993) untuk</w:t>
      </w:r>
      <w:r>
        <w:t xml:space="preserve"> </w:t>
      </w:r>
      <w:r>
        <w:rPr>
          <w:i/>
          <w:iCs/>
        </w:rPr>
        <w:t xml:space="preserve">configurational theories</w:t>
      </w:r>
      <w:r>
        <w:t xml:space="preserve"> </w:t>
      </w:r>
      <w:r>
        <w:t xml:space="preserve">dan</w:t>
      </w:r>
      <w:r>
        <w:t xml:space="preserve"> </w:t>
      </w:r>
      <w:r>
        <w:rPr>
          <w:i/>
          <w:iCs/>
        </w:rPr>
        <w:t xml:space="preserve">equifinality</w:t>
      </w:r>
      <w:r>
        <w:t xml:space="preserve">, dari Zajac, Kraatz, dan Bresser (2000) untuk</w:t>
      </w:r>
      <w:r>
        <w:t xml:space="preserve"> </w:t>
      </w:r>
      <w:r>
        <w:rPr>
          <w:i/>
          <w:iCs/>
        </w:rPr>
        <w:t xml:space="preserve">dynamic fit</w:t>
      </w:r>
      <w:r>
        <w:t xml:space="preserve">, dari Shelton (1988) untuk</w:t>
      </w:r>
      <w:r>
        <w:t xml:space="preserve"> </w:t>
      </w:r>
      <w:r>
        <w:rPr>
          <w:i/>
          <w:iCs/>
        </w:rPr>
        <w:t xml:space="preserve">M&amp;A fit</w:t>
      </w:r>
      <w:r>
        <w:t xml:space="preserve">, dari Hoffmann (2007) untuk</w:t>
      </w:r>
      <w:r>
        <w:t xml:space="preserve"> </w:t>
      </w:r>
      <w:r>
        <w:rPr>
          <w:i/>
          <w:iCs/>
        </w:rPr>
        <w:t xml:space="preserve">alliance portfolio</w:t>
      </w:r>
      <w:r>
        <w:t xml:space="preserve">, dari Day (2000) untuk</w:t>
      </w:r>
      <w:r>
        <w:t xml:space="preserve"> </w:t>
      </w:r>
      <w:r>
        <w:rPr>
          <w:i/>
          <w:iCs/>
        </w:rPr>
        <w:t xml:space="preserve">market-driven organization</w:t>
      </w:r>
      <w:r>
        <w:t xml:space="preserve">, dari Grant (2007) untuk</w:t>
      </w:r>
      <w:r>
        <w:t xml:space="preserve"> </w:t>
      </w:r>
      <w:r>
        <w:rPr>
          <w:i/>
          <w:iCs/>
        </w:rPr>
        <w:t xml:space="preserve">contemporary strategy</w:t>
      </w:r>
      <w:r>
        <w:t xml:space="preserve">, serta dari Ireland, Hitt, dan Vaidyanath (2002) untuk</w:t>
      </w:r>
      <w:r>
        <w:t xml:space="preserve"> </w:t>
      </w:r>
      <w:r>
        <w:rPr>
          <w:i/>
          <w:iCs/>
        </w:rPr>
        <w:t xml:space="preserve">alliance management</w:t>
      </w:r>
      <w:r>
        <w:t xml:space="preserve">. Komposisi referensi ini cukup luas, tetapi penulis tidak melakukan</w:t>
      </w:r>
      <w:r>
        <w:t xml:space="preserve"> </w:t>
      </w:r>
      <w:r>
        <w:rPr>
          <w:i/>
          <w:iCs/>
        </w:rPr>
        <w:t xml:space="preserve">adjudication</w:t>
      </w:r>
      <w:r>
        <w:t xml:space="preserve"> </w:t>
      </w:r>
      <w:r>
        <w:t xml:space="preserve">— yaitu eksplisitnya keputusan kapan satu teori menggantikan teori lain, atau bagaimana teori-teori tersebut bekerja sama tanpa kontradiksi. Sebagai contoh,</w:t>
      </w:r>
      <w:r>
        <w:t xml:space="preserve"> </w:t>
      </w:r>
      <w:r>
        <w:rPr>
          <w:i/>
          <w:iCs/>
        </w:rPr>
        <w:t xml:space="preserve">configurational fit</w:t>
      </w:r>
      <w:r>
        <w:t xml:space="preserve"> </w:t>
      </w:r>
      <w:r>
        <w:t xml:space="preserve">Doty dan rekan (1993) menyatakan adanya</w:t>
      </w:r>
      <w:r>
        <w:t xml:space="preserve"> </w:t>
      </w:r>
      <w:r>
        <w:rPr>
          <w:i/>
          <w:iCs/>
        </w:rPr>
        <w:t xml:space="preserve">equifinality</w:t>
      </w:r>
      <w:r>
        <w:t xml:space="preserve"> </w:t>
      </w:r>
      <w:r>
        <w:t xml:space="preserve">— bahwa lebih dari satu konfigurasi menghasilkan kinerja sama; sementara klaim penulis bahwa</w:t>
      </w:r>
      <w:r>
        <w:t xml:space="preserve"> </w:t>
      </w:r>
      <w:r>
        <w:rPr>
          <w:i/>
          <w:iCs/>
        </w:rPr>
        <w:t xml:space="preserve">4Cs</w:t>
      </w:r>
      <w:r>
        <w:t xml:space="preserve"> </w:t>
      </w:r>
      <w:r>
        <w:t xml:space="preserve">harus terintegrasi dengan tiga jalur organisasional mengasumsikan</w:t>
      </w:r>
      <w:r>
        <w:t xml:space="preserve"> </w:t>
      </w:r>
      <w:r>
        <w:rPr>
          <w:i/>
          <w:iCs/>
        </w:rPr>
        <w:t xml:space="preserve">single best configuration</w:t>
      </w:r>
      <w:r>
        <w:t xml:space="preserve">. Tegangan teoretis ini tidak diakui. Hasilnya: kerangka yang terdengar komprehensif tetapi tidak menghasilkan</w:t>
      </w:r>
      <w:r>
        <w:t xml:space="preserve"> </w:t>
      </w:r>
      <w:r>
        <w:rPr>
          <w:i/>
          <w:iCs/>
        </w:rPr>
        <w:t xml:space="preserve">testable predictions</w:t>
      </w:r>
      <w:r>
        <w:t xml:space="preserve"> </w:t>
      </w:r>
      <w:r>
        <w:t xml:space="preserve">yang spesifik.</w:t>
      </w:r>
      <w:r>
        <w:t xml:space="preserve"> </w:t>
      </w:r>
      <w:r>
        <w:rPr>
          <w:i/>
          <w:iCs/>
        </w:rPr>
        <w:t xml:space="preserve">Eclecticism</w:t>
      </w:r>
      <w:r>
        <w:t xml:space="preserve"> </w:t>
      </w:r>
      <w:r>
        <w:t xml:space="preserve">tanpa</w:t>
      </w:r>
      <w:r>
        <w:t xml:space="preserve"> </w:t>
      </w:r>
      <w:r>
        <w:rPr>
          <w:i/>
          <w:iCs/>
        </w:rPr>
        <w:t xml:space="preserve">adjudication</w:t>
      </w:r>
      <w:r>
        <w:t xml:space="preserve"> </w:t>
      </w:r>
      <w:r>
        <w:t xml:space="preserve">sering menjadi</w:t>
      </w:r>
      <w:r>
        <w:t xml:space="preserve"> </w:t>
      </w:r>
      <w:r>
        <w:rPr>
          <w:i/>
          <w:iCs/>
        </w:rPr>
        <w:t xml:space="preserve">epistemological cover</w:t>
      </w:r>
      <w:r>
        <w:t xml:space="preserve"> </w:t>
      </w:r>
      <w:r>
        <w:t xml:space="preserve">untuk klaim yang sebenarnya sulit dipertahankan.</w:t>
      </w:r>
    </w:p>
    <w:bookmarkEnd w:id="57"/>
    <w:bookmarkStart w:id="58" w:name="X3cb44eb87287424dd82945026b526d32e1f5fcf"/>
    <w:p>
      <w:pPr>
        <w:pStyle w:val="Heading3"/>
      </w:pPr>
      <w:r>
        <w:t xml:space="preserve">Klaim Kausal Berlebihan dari Survei Cross-Sectional</w:t>
      </w:r>
    </w:p>
    <w:p>
      <w:pPr>
        <w:pStyle w:val="FirstParagraph"/>
      </w:pPr>
      <w:r>
        <w:t xml:space="preserve">Kritik ketiga adalah klaim kausal yang berlebihan untuk basis data</w:t>
      </w:r>
      <w:r>
        <w:t xml:space="preserve"> </w:t>
      </w:r>
      <w:r>
        <w:rPr>
          <w:i/>
          <w:iCs/>
        </w:rPr>
        <w:t xml:space="preserve">cross-sectional</w:t>
      </w:r>
      <w:r>
        <w:t xml:space="preserve">. Penulis menyimpulkan bahwa</w:t>
      </w:r>
      <w:r>
        <w:t xml:space="preserve"> </w:t>
      </w:r>
      <w:r>
        <w:rPr>
          <w:i/>
          <w:iCs/>
        </w:rPr>
        <w:t xml:space="preserve">4Cs</w:t>
      </w:r>
      <w:r>
        <w:t xml:space="preserve"> </w:t>
      </w:r>
      <w:r>
        <w:t xml:space="preserve">— dipasangkan dengan tiga jalur organisasional —</w:t>
      </w:r>
      <w:r>
        <w:t xml:space="preserve"> </w:t>
      </w:r>
      <w:r>
        <w:rPr>
          <w:i/>
          <w:iCs/>
        </w:rPr>
        <w:t xml:space="preserve">menyebabkan</w:t>
      </w:r>
      <w:r>
        <w:t xml:space="preserve"> </w:t>
      </w:r>
      <w:r>
        <w:t xml:space="preserve">sinergi dan</w:t>
      </w:r>
      <w:r>
        <w:t xml:space="preserve"> </w:t>
      </w:r>
      <w:r>
        <w:rPr>
          <w:i/>
          <w:iCs/>
        </w:rPr>
        <w:t xml:space="preserve">organizational effectiveness</w:t>
      </w:r>
      <w:r>
        <w:t xml:space="preserve">. Klaim</w:t>
      </w:r>
      <w:r>
        <w:t xml:space="preserve"> </w:t>
      </w:r>
      <w:r>
        <w:rPr>
          <w:i/>
          <w:iCs/>
        </w:rPr>
        <w:t xml:space="preserve">menyebabkan</w:t>
      </w:r>
      <w:r>
        <w:t xml:space="preserve"> </w:t>
      </w:r>
      <w:r>
        <w:t xml:space="preserve">(</w:t>
      </w:r>
      <w:r>
        <w:rPr>
          <w:i/>
          <w:iCs/>
        </w:rPr>
        <w:t xml:space="preserve">causal claim</w:t>
      </w:r>
      <w:r>
        <w:t xml:space="preserve">) menuntut tiga kondisi minimum: kovariasi,</w:t>
      </w:r>
      <w:r>
        <w:t xml:space="preserve"> </w:t>
      </w:r>
      <w:r>
        <w:rPr>
          <w:i/>
          <w:iCs/>
        </w:rPr>
        <w:t xml:space="preserve">temporal precedence</w:t>
      </w:r>
      <w:r>
        <w:t xml:space="preserve">, dan</w:t>
      </w:r>
      <w:r>
        <w:t xml:space="preserve"> </w:t>
      </w:r>
      <w:r>
        <w:rPr>
          <w:i/>
          <w:iCs/>
        </w:rPr>
        <w:t xml:space="preserve">non-spuriousness</w:t>
      </w:r>
      <w:r>
        <w:t xml:space="preserve">. Survei</w:t>
      </w:r>
      <w:r>
        <w:t xml:space="preserve"> </w:t>
      </w:r>
      <w:r>
        <w:rPr>
          <w:i/>
          <w:iCs/>
        </w:rPr>
        <w:t xml:space="preserve">cross-sectional</w:t>
      </w:r>
      <w:r>
        <w:t xml:space="preserve"> </w:t>
      </w:r>
      <w:r>
        <w:t xml:space="preserve">dapat mendokumentasikan kovariasi, tetapi tidak dapat mendokumentasikan</w:t>
      </w:r>
      <w:r>
        <w:t xml:space="preserve"> </w:t>
      </w:r>
      <w:r>
        <w:rPr>
          <w:i/>
          <w:iCs/>
        </w:rPr>
        <w:t xml:space="preserve">temporal precedence</w:t>
      </w:r>
      <w:r>
        <w:t xml:space="preserve"> </w:t>
      </w:r>
      <w:r>
        <w:t xml:space="preserve">— apakah</w:t>
      </w:r>
      <w:r>
        <w:t xml:space="preserve"> </w:t>
      </w:r>
      <w:r>
        <w:rPr>
          <w:i/>
          <w:iCs/>
        </w:rPr>
        <w:t xml:space="preserve">4Cs</w:t>
      </w:r>
      <w:r>
        <w:t xml:space="preserve"> </w:t>
      </w:r>
      <w:r>
        <w:t xml:space="preserve">mendahului</w:t>
      </w:r>
      <w:r>
        <w:t xml:space="preserve"> </w:t>
      </w:r>
      <w:r>
        <w:rPr>
          <w:i/>
          <w:iCs/>
        </w:rPr>
        <w:t xml:space="preserve">effectiveness</w:t>
      </w:r>
      <w:r>
        <w:t xml:space="preserve"> </w:t>
      </w:r>
      <w:r>
        <w:t xml:space="preserve">atau sebaliknya.</w:t>
      </w:r>
      <w:r>
        <w:t xml:space="preserve"> </w:t>
      </w:r>
      <w:r>
        <w:rPr>
          <w:i/>
          <w:iCs/>
        </w:rPr>
        <w:t xml:space="preserve">Reverse causality</w:t>
      </w:r>
      <w:r>
        <w:t xml:space="preserve"> </w:t>
      </w:r>
      <w:r>
        <w:t xml:space="preserve">sangat plausibel: perusahaan yang sudah efektif lebih mampu membangun</w:t>
      </w:r>
      <w:r>
        <w:t xml:space="preserve">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 dan</w:t>
      </w:r>
      <w:r>
        <w:t xml:space="preserve"> </w:t>
      </w:r>
      <w:r>
        <w:rPr>
          <w:i/>
          <w:iCs/>
        </w:rPr>
        <w:t xml:space="preserve">control</w:t>
      </w:r>
      <w:r>
        <w:t xml:space="preserve"> </w:t>
      </w:r>
      <w:r>
        <w:t xml:space="preserve">karena memiliki sumber daya untuk berinvestasi pada kerangka tata kelola yang baik.</w:t>
      </w:r>
      <w:r>
        <w:t xml:space="preserve"> </w:t>
      </w:r>
      <w:r>
        <w:rPr>
          <w:i/>
          <w:iCs/>
        </w:rPr>
        <w:t xml:space="preserve">Common cause</w:t>
      </w:r>
      <w:r>
        <w:t xml:space="preserve"> </w:t>
      </w:r>
      <w:r>
        <w:t xml:space="preserve">juga plausibel:</w:t>
      </w:r>
      <w:r>
        <w:t xml:space="preserve"> </w:t>
      </w:r>
      <w:r>
        <w:rPr>
          <w:i/>
          <w:iCs/>
        </w:rPr>
        <w:t xml:space="preserve">organizational maturity</w:t>
      </w:r>
      <w:r>
        <w:t xml:space="preserve"> </w:t>
      </w:r>
      <w:r>
        <w:t xml:space="preserve">atau</w:t>
      </w:r>
      <w:r>
        <w:t xml:space="preserve"> </w:t>
      </w:r>
      <w:r>
        <w:rPr>
          <w:i/>
          <w:iCs/>
        </w:rPr>
        <w:t xml:space="preserve">managerial competence</w:t>
      </w:r>
      <w:r>
        <w:t xml:space="preserve"> </w:t>
      </w:r>
      <w:r>
        <w:t xml:space="preserve">dapat menjadi penyebab bersama yang memunculkan kedua fenomena. Bila penulis ingin menarik klaim kausal, desain yang dibutuhkan adalah</w:t>
      </w:r>
      <w:r>
        <w:t xml:space="preserve"> </w:t>
      </w:r>
      <w:r>
        <w:rPr>
          <w:i/>
          <w:iCs/>
        </w:rPr>
        <w:t xml:space="preserve">longitudinal panel</w:t>
      </w:r>
      <w:r>
        <w:t xml:space="preserve">,</w:t>
      </w:r>
      <w:r>
        <w:t xml:space="preserve"> </w:t>
      </w:r>
      <w:r>
        <w:rPr>
          <w:i/>
          <w:iCs/>
        </w:rPr>
        <w:t xml:space="preserve">natural experiment</w:t>
      </w:r>
      <w:r>
        <w:t xml:space="preserve"> </w:t>
      </w:r>
      <w:r>
        <w:t xml:space="preserve">dengan</w:t>
      </w:r>
      <w:r>
        <w:t xml:space="preserve"> </w:t>
      </w:r>
      <w:r>
        <w:rPr>
          <w:i/>
          <w:iCs/>
        </w:rPr>
        <w:t xml:space="preserve">exogenous shock</w:t>
      </w:r>
      <w:r>
        <w:t xml:space="preserve">, atau</w:t>
      </w:r>
      <w:r>
        <w:t xml:space="preserve"> </w:t>
      </w:r>
      <w:r>
        <w:rPr>
          <w:i/>
          <w:iCs/>
        </w:rPr>
        <w:t xml:space="preserve">instrumental variable approach</w:t>
      </w:r>
      <w:r>
        <w:t xml:space="preserve"> </w:t>
      </w:r>
      <w:r>
        <w:t xml:space="preserve">— bukan</w:t>
      </w:r>
      <w:r>
        <w:t xml:space="preserve"> </w:t>
      </w:r>
      <w:r>
        <w:rPr>
          <w:i/>
          <w:iCs/>
        </w:rPr>
        <w:t xml:space="preserve">cross-sectional survey</w:t>
      </w:r>
      <w:r>
        <w:t xml:space="preserve"> </w:t>
      </w:r>
      <w:r>
        <w:t xml:space="preserve">dengan Z-test. Klaim kausal dari desain seperti ini hanya dapat berstatus</w:t>
      </w:r>
      <w:r>
        <w:t xml:space="preserve"> </w:t>
      </w:r>
      <w:r>
        <w:rPr>
          <w:i/>
          <w:iCs/>
        </w:rPr>
        <w:t xml:space="preserve">suggestive</w:t>
      </w:r>
      <w:r>
        <w:t xml:space="preserve">, dan penulis seharusnya menyatakan demikian secara eksplisit. Ketidakberadaan pernyataan ini membuat tone artikel lebih asertif daripada yang dapat dijustifikasi oleh basis empirisnya.</w:t>
      </w:r>
    </w:p>
    <w:bookmarkEnd w:id="58"/>
    <w:bookmarkStart w:id="59" w:name="X2a51b274db0af26ac3dcaef7e883bd66c22320c"/>
    <w:p>
      <w:pPr>
        <w:pStyle w:val="Heading3"/>
      </w:pPr>
      <w:r>
        <w:t xml:space="preserve">Gap Literatur: Yang Seharusnya Dikutip tapi Tidak</w:t>
      </w:r>
    </w:p>
    <w:p>
      <w:pPr>
        <w:pStyle w:val="FirstParagraph"/>
      </w:pPr>
      <w:r>
        <w:t xml:space="preserve">Kritik keempat adalah celah literatur yang signifikan. Beberapa referensi fundamental tidak hadir dalam daftar pustaka artikel —</w:t>
      </w:r>
      <w:r>
        <w:t xml:space="preserve"> </w:t>
      </w:r>
      <w:r>
        <w:rPr>
          <w:b/>
          <w:bCs/>
        </w:rPr>
        <w:t xml:space="preserve">kelima referensi berikut adalah</w:t>
      </w:r>
      <w:r>
        <w:rPr>
          <w:b/>
          <w:bCs/>
        </w:rPr>
        <w:t xml:space="preserve"> </w:t>
      </w:r>
      <w:r>
        <w:rPr>
          <w:b/>
          <w:bCs/>
          <w:i/>
          <w:iCs/>
        </w:rPr>
        <w:t xml:space="preserve">external critical reference points</w:t>
      </w:r>
      <w:r>
        <w:rPr>
          <w:b/>
          <w:bCs/>
        </w:rPr>
        <w:t xml:space="preserve"> </w:t>
      </w:r>
      <w:r>
        <w:rPr>
          <w:b/>
          <w:bCs/>
        </w:rPr>
        <w:t xml:space="preserve">yang saya tambahkan sebagai pengulas dan secara eksplisit tidak ada dalam artikel Okebaram dan Onuoha 2018</w:t>
      </w:r>
      <w:r>
        <w:t xml:space="preserve">, sehingga ketiadaannya merupakan celah dalam tinjauan pustaka penulis, bukan kutipan yang saya atribusikan pada penulis. Pertama,</w:t>
      </w:r>
      <w:r>
        <w:t xml:space="preserve"> </w:t>
      </w:r>
      <w:r>
        <w:rPr>
          <w:b/>
          <w:bCs/>
        </w:rPr>
        <w:t xml:space="preserve">Venkatraman (1989)</w:t>
      </w:r>
      <w:r>
        <w:t xml:space="preserve"> </w:t>
      </w:r>
      <w:r>
        <w:rPr>
          <w:i/>
          <w:iCs/>
        </w:rPr>
        <w:t xml:space="preserve">“The Concept of Fit in Strategy Research: Toward Verbal and Statistical Correspondence”</w:t>
      </w:r>
      <w:r>
        <w:t xml:space="preserve"> </w:t>
      </w:r>
      <w:r>
        <w:t xml:space="preserve">— kontribusi konseptual paling penting tentang</w:t>
      </w:r>
      <w:r>
        <w:t xml:space="preserve"> </w:t>
      </w:r>
      <w:r>
        <w:rPr>
          <w:i/>
          <w:iCs/>
        </w:rPr>
        <w:t xml:space="preserve">fit</w:t>
      </w:r>
      <w:r>
        <w:t xml:space="preserve"> </w:t>
      </w:r>
      <w:r>
        <w:t xml:space="preserve">dalam tiga dekade terakhir, yang membedakan enam perspektif</w:t>
      </w:r>
      <w:r>
        <w:t xml:space="preserve"> </w:t>
      </w:r>
      <w:r>
        <w:rPr>
          <w:i/>
          <w:iCs/>
        </w:rPr>
        <w:t xml:space="preserve">fit</w:t>
      </w:r>
      <w:r>
        <w:t xml:space="preserve"> </w:t>
      </w:r>
      <w:r>
        <w:t xml:space="preserve">(</w:t>
      </w:r>
      <w:r>
        <w:rPr>
          <w:i/>
          <w:iCs/>
        </w:rPr>
        <w:t xml:space="preserve">moderation, mediation, matching, gestalt, profile deviation, covariation</w:t>
      </w:r>
      <w:r>
        <w:t xml:space="preserve">). Tanpa kerangka Venkatraman, diskusi</w:t>
      </w:r>
      <w:r>
        <w:t xml:space="preserve"> </w:t>
      </w:r>
      <w:r>
        <w:rPr>
          <w:i/>
          <w:iCs/>
        </w:rPr>
        <w:t xml:space="preserve">fit</w:t>
      </w:r>
      <w:r>
        <w:t xml:space="preserve"> </w:t>
      </w:r>
      <w:r>
        <w:t xml:space="preserve">sulit memiliki ketegasan konseptual. Kedua,</w:t>
      </w:r>
      <w:r>
        <w:t xml:space="preserve"> </w:t>
      </w:r>
      <w:r>
        <w:rPr>
          <w:b/>
          <w:bCs/>
        </w:rPr>
        <w:t xml:space="preserve">Lawrence dan Lorsch (1967)</w:t>
      </w:r>
      <w:r>
        <w:t xml:space="preserve"> </w:t>
      </w:r>
      <w:r>
        <w:t xml:space="preserve">— induk kerangka</w:t>
      </w:r>
      <w:r>
        <w:t xml:space="preserve"> </w:t>
      </w:r>
      <w:r>
        <w:rPr>
          <w:i/>
          <w:iCs/>
        </w:rPr>
        <w:t xml:space="preserve">contingency theory</w:t>
      </w:r>
      <w:r>
        <w:t xml:space="preserve"> </w:t>
      </w:r>
      <w:r>
        <w:t xml:space="preserve">yang menjadi fondasi seluruh literatur</w:t>
      </w:r>
      <w:r>
        <w:t xml:space="preserve"> </w:t>
      </w:r>
      <w:r>
        <w:rPr>
          <w:i/>
          <w:iCs/>
        </w:rPr>
        <w:t xml:space="preserve">strategic fit</w:t>
      </w:r>
      <w:r>
        <w:t xml:space="preserve">; ketiadaannya membuat artikel ini terputus dari akar teoretisnya. Ketiga,</w:t>
      </w:r>
      <w:r>
        <w:t xml:space="preserve"> </w:t>
      </w:r>
      <w:r>
        <w:rPr>
          <w:b/>
          <w:bCs/>
        </w:rPr>
        <w:t xml:space="preserve">Elkington (1997)</w:t>
      </w:r>
      <w:r>
        <w:t xml:space="preserve"> </w:t>
      </w:r>
      <w:r>
        <w:t xml:space="preserve">—</w:t>
      </w:r>
      <w:r>
        <w:t xml:space="preserve"> </w:t>
      </w:r>
      <w:r>
        <w:rPr>
          <w:i/>
          <w:iCs/>
        </w:rPr>
        <w:t xml:space="preserve">triple bottom line</w:t>
      </w:r>
      <w:r>
        <w:t xml:space="preserve">, fundamental untuk diskusi</w:t>
      </w:r>
      <w:r>
        <w:t xml:space="preserve"> </w:t>
      </w:r>
      <w:r>
        <w:rPr>
          <w:i/>
          <w:iCs/>
        </w:rPr>
        <w:t xml:space="preserve">sustainability</w:t>
      </w:r>
      <w:r>
        <w:t xml:space="preserve">; ketiadaannya menjelaskan mengapa konflasi</w:t>
      </w:r>
      <w:r>
        <w:t xml:space="preserve"> </w:t>
      </w:r>
      <w:r>
        <w:rPr>
          <w:i/>
          <w:iCs/>
        </w:rPr>
        <w:t xml:space="preserve">sustainability</w:t>
      </w:r>
      <w:r>
        <w:t xml:space="preserve">/SCA tidak terdeteksi penulis. Keempat,</w:t>
      </w:r>
      <w:r>
        <w:t xml:space="preserve"> </w:t>
      </w:r>
      <w:r>
        <w:rPr>
          <w:b/>
          <w:bCs/>
        </w:rPr>
        <w:t xml:space="preserve">Hart (1995)</w:t>
      </w:r>
      <w:r>
        <w:t xml:space="preserve"> </w:t>
      </w:r>
      <w:r>
        <w:rPr>
          <w:i/>
          <w:iCs/>
        </w:rPr>
        <w:t xml:space="preserve">natural-resource-based view</w:t>
      </w:r>
      <w:r>
        <w:t xml:space="preserve"> </w:t>
      </w:r>
      <w:r>
        <w:t xml:space="preserve">— kontribusi penting untuk</w:t>
      </w:r>
      <w:r>
        <w:t xml:space="preserve"> </w:t>
      </w:r>
      <w:r>
        <w:rPr>
          <w:i/>
          <w:iCs/>
        </w:rPr>
        <w:t xml:space="preserve">sustainability-as-strategy</w:t>
      </w:r>
      <w:r>
        <w:t xml:space="preserve">. Kelima,</w:t>
      </w:r>
      <w:r>
        <w:t xml:space="preserve"> </w:t>
      </w:r>
      <w:r>
        <w:rPr>
          <w:b/>
          <w:bCs/>
        </w:rPr>
        <w:t xml:space="preserve">Porter dan Kramer (2006)</w:t>
      </w:r>
      <w:r>
        <w:t xml:space="preserve"> </w:t>
      </w:r>
      <w:r>
        <w:rPr>
          <w:i/>
          <w:iCs/>
        </w:rPr>
        <w:t xml:space="preserve">shared value</w:t>
      </w:r>
      <w:r>
        <w:t xml:space="preserve"> </w:t>
      </w:r>
      <w:r>
        <w:t xml:space="preserve">— pendekatan kontemporer untuk mengintegrasikan kepentingan komersial dan sosial.</w:t>
      </w:r>
      <w:r>
        <w:t xml:space="preserve"> </w:t>
      </w:r>
      <w:r>
        <w:rPr>
          <w:b/>
          <w:bCs/>
        </w:rPr>
        <w:t xml:space="preserve">Bila ada satu tes paling parsimonious untuk kualitas tinjauan pustaka, artikel ini gagal:</w:t>
      </w:r>
      <w:r>
        <w:t xml:space="preserve"> </w:t>
      </w:r>
      <w:r>
        <w:t xml:space="preserve">penulis tidak menemukan, tidak mengakses, atau tidak menggunakan literatur fundamental yang seharusnya menjadi titik mulai diskusi.</w:t>
      </w:r>
    </w:p>
    <w:bookmarkEnd w:id="59"/>
    <w:bookmarkStart w:id="60" w:name="apa-yang-seharusnya-dilakukan"/>
    <w:p>
      <w:pPr>
        <w:pStyle w:val="Heading3"/>
      </w:pPr>
      <w:r>
        <w:t xml:space="preserve">Apa yang Seharusnya Dilakukan</w:t>
      </w:r>
    </w:p>
    <w:p>
      <w:pPr>
        <w:pStyle w:val="FirstParagraph"/>
      </w:pPr>
      <w:r>
        <w:t xml:space="preserve">Kritik kelima adalah agenda perbaikan — apa yang seharusnya dilakukan penulis untuk mengangkat kontribusi artikel ke tier yang lebih tinggi. Pertama,</w:t>
      </w:r>
      <w:r>
        <w:t xml:space="preserve"> </w:t>
      </w:r>
      <w:r>
        <w:rPr>
          <w:b/>
          <w:bCs/>
        </w:rPr>
        <w:t xml:space="preserve">definisi eksplisit terhadap</w:t>
      </w:r>
      <w:r>
        <w:rPr>
          <w:b/>
          <w:bCs/>
        </w:rPr>
        <w:t xml:space="preserve"> </w:t>
      </w:r>
      <w:r>
        <w:rPr>
          <w:b/>
          <w:bCs/>
          <w:i/>
          <w:iCs/>
        </w:rPr>
        <w:t xml:space="preserve">sustainability</w:t>
      </w:r>
      <w:r>
        <w:t xml:space="preserve"> </w:t>
      </w:r>
      <w:r>
        <w:t xml:space="preserve">— pilih satu kerangka (TBL Elkington 1997, atau SCA Porter 1985, atau Brundtland 1987, atau Hart 1995) dan gunakan secara konsisten; sebut konsep yang tidak dipakai untuk membatasi</w:t>
      </w:r>
      <w:r>
        <w:t xml:space="preserve"> </w:t>
      </w:r>
      <w:r>
        <w:rPr>
          <w:i/>
          <w:iCs/>
        </w:rPr>
        <w:t xml:space="preserve">scope</w:t>
      </w:r>
      <w:r>
        <w:t xml:space="preserve">. Kedua,</w:t>
      </w:r>
      <w:r>
        <w:t xml:space="preserve"> </w:t>
      </w:r>
      <w:r>
        <w:rPr>
          <w:b/>
          <w:bCs/>
        </w:rPr>
        <w:t xml:space="preserve">uji</w:t>
      </w:r>
      <w:r>
        <w:rPr>
          <w:b/>
          <w:bCs/>
        </w:rPr>
        <w:t xml:space="preserve"> </w:t>
      </w:r>
      <w:r>
        <w:rPr>
          <w:b/>
          <w:bCs/>
          <w:i/>
          <w:iCs/>
        </w:rPr>
        <w:t xml:space="preserve">Structural Equation Modeling</w:t>
      </w:r>
      <w:r>
        <w:t xml:space="preserve"> </w:t>
      </w:r>
      <w:r>
        <w:t xml:space="preserve">dengan</w:t>
      </w:r>
      <w:r>
        <w:t xml:space="preserve"> </w:t>
      </w:r>
      <w:r>
        <w:rPr>
          <w:i/>
          <w:iCs/>
        </w:rPr>
        <w:t xml:space="preserve">validated constructs</w:t>
      </w:r>
      <w:r>
        <w:t xml:space="preserve"> </w:t>
      </w:r>
      <w:r>
        <w:t xml:space="preserve">untuk</w:t>
      </w:r>
      <w:r>
        <w:t xml:space="preserve"> </w:t>
      </w:r>
      <w:r>
        <w:rPr>
          <w:i/>
          <w:iCs/>
        </w:rPr>
        <w:t xml:space="preserve">4Cs</w:t>
      </w:r>
      <w:r>
        <w:t xml:space="preserve"> </w:t>
      </w:r>
      <w:r>
        <w:t xml:space="preserve">— mulai dari</w:t>
      </w:r>
      <w:r>
        <w:t xml:space="preserve"> </w:t>
      </w:r>
      <w:r>
        <w:rPr>
          <w:i/>
          <w:iCs/>
        </w:rPr>
        <w:t xml:space="preserve">factor analysis</w:t>
      </w:r>
      <w:r>
        <w:t xml:space="preserve">,</w:t>
      </w:r>
      <w:r>
        <w:t xml:space="preserve"> </w:t>
      </w:r>
      <w:r>
        <w:rPr>
          <w:i/>
          <w:iCs/>
        </w:rPr>
        <w:t xml:space="preserve">Cronbach’s alpha</w:t>
      </w:r>
      <w:r>
        <w:t xml:space="preserve">,</w:t>
      </w:r>
      <w:r>
        <w:t xml:space="preserve"> </w:t>
      </w:r>
      <w:r>
        <w:rPr>
          <w:i/>
          <w:iCs/>
        </w:rPr>
        <w:t xml:space="preserve">Average Variance Extracted</w:t>
      </w:r>
      <w:r>
        <w:t xml:space="preserve">,</w:t>
      </w:r>
      <w:r>
        <w:t xml:space="preserve"> </w:t>
      </w:r>
      <w:r>
        <w:rPr>
          <w:i/>
          <w:iCs/>
        </w:rPr>
        <w:t xml:space="preserve">Heterotrait-Monotrait ratio</w:t>
      </w:r>
      <w:r>
        <w:t xml:space="preserve">, lalu uji model jalur untuk mediasi</w:t>
      </w:r>
      <w:r>
        <w:t xml:space="preserve"> </w:t>
      </w:r>
      <w:r>
        <w:rPr>
          <w:i/>
          <w:iCs/>
        </w:rPr>
        <w:t xml:space="preserve">4Cs</w:t>
      </w:r>
      <w:r>
        <w:t xml:space="preserve"> </w:t>
      </w:r>
      <w:r>
        <w:t xml:space="preserve">→ tiga jalur organisasional →</w:t>
      </w:r>
      <w:r>
        <w:t xml:space="preserve"> </w:t>
      </w:r>
      <w:r>
        <w:rPr>
          <w:i/>
          <w:iCs/>
        </w:rPr>
        <w:t xml:space="preserve">organizational effectiveness</w:t>
      </w:r>
      <w:r>
        <w:t xml:space="preserve">. Ketiga,</w:t>
      </w:r>
      <w:r>
        <w:t xml:space="preserve"> </w:t>
      </w:r>
      <w:r>
        <w:rPr>
          <w:b/>
          <w:bCs/>
        </w:rPr>
        <w:t xml:space="preserve">desain</w:t>
      </w:r>
      <w:r>
        <w:rPr>
          <w:b/>
          <w:bCs/>
        </w:rPr>
        <w:t xml:space="preserve"> </w:t>
      </w:r>
      <w:r>
        <w:rPr>
          <w:b/>
          <w:bCs/>
          <w:i/>
          <w:iCs/>
        </w:rPr>
        <w:t xml:space="preserve">longitudinal panel</w:t>
      </w:r>
      <w:r>
        <w:t xml:space="preserve"> </w:t>
      </w:r>
      <w:r>
        <w:t xml:space="preserve">untuk memisahkan arah kausal — pengukuran</w:t>
      </w:r>
      <w:r>
        <w:t xml:space="preserve"> </w:t>
      </w:r>
      <w:r>
        <w:rPr>
          <w:i/>
          <w:iCs/>
        </w:rPr>
        <w:t xml:space="preserve">4Cs</w:t>
      </w:r>
      <w:r>
        <w:t xml:space="preserve"> </w:t>
      </w:r>
      <w:r>
        <w:t xml:space="preserve">pada t1, pengukuran</w:t>
      </w:r>
      <w:r>
        <w:t xml:space="preserve"> </w:t>
      </w:r>
      <w:r>
        <w:rPr>
          <w:i/>
          <w:iCs/>
        </w:rPr>
        <w:t xml:space="preserve">effectiveness</w:t>
      </w:r>
      <w:r>
        <w:t xml:space="preserve"> </w:t>
      </w:r>
      <w:r>
        <w:t xml:space="preserve">pada t2 dengan jeda yang masuk akal (12–24 bulan). Keempat,</w:t>
      </w:r>
      <w:r>
        <w:t xml:space="preserve"> </w:t>
      </w:r>
      <w:r>
        <w:rPr>
          <w:b/>
          <w:bCs/>
        </w:rPr>
        <w:t xml:space="preserve">sampel</w:t>
      </w:r>
      <w:r>
        <w:rPr>
          <w:b/>
          <w:bCs/>
        </w:rPr>
        <w:t xml:space="preserve"> </w:t>
      </w:r>
      <w:r>
        <w:rPr>
          <w:b/>
          <w:bCs/>
          <w:i/>
          <w:iCs/>
        </w:rPr>
        <w:t xml:space="preserve">multi-industry multi-country</w:t>
      </w:r>
      <w:r>
        <w:t xml:space="preserve"> </w:t>
      </w:r>
      <w:r>
        <w:t xml:space="preserve">untuk meningkatkan</w:t>
      </w:r>
      <w:r>
        <w:t xml:space="preserve"> </w:t>
      </w:r>
      <w:r>
        <w:rPr>
          <w:i/>
          <w:iCs/>
        </w:rPr>
        <w:t xml:space="preserve">external validity</w:t>
      </w:r>
      <w:r>
        <w:t xml:space="preserve"> </w:t>
      </w:r>
      <w:r>
        <w:t xml:space="preserve">— minimal mencakup tiga sektor dan tiga negara dengan struktur institusional berbeda. Kelima,</w:t>
      </w:r>
      <w:r>
        <w:t xml:space="preserve"> </w:t>
      </w:r>
      <w:r>
        <w:rPr>
          <w:b/>
          <w:bCs/>
        </w:rPr>
        <w:t xml:space="preserve">integrasi eksplisit dengan literatur</w:t>
      </w:r>
      <w:r>
        <w:rPr>
          <w:b/>
          <w:bCs/>
        </w:rPr>
        <w:t xml:space="preserve"> </w:t>
      </w:r>
      <w:r>
        <w:rPr>
          <w:b/>
          <w:bCs/>
          <w:i/>
          <w:iCs/>
        </w:rPr>
        <w:t xml:space="preserve">fit</w:t>
      </w:r>
      <w:r>
        <w:rPr>
          <w:b/>
          <w:bCs/>
        </w:rPr>
        <w:t xml:space="preserve"> </w:t>
      </w:r>
      <w:r>
        <w:rPr>
          <w:b/>
          <w:bCs/>
        </w:rPr>
        <w:t xml:space="preserve">klasik</w:t>
      </w:r>
      <w:r>
        <w:t xml:space="preserve"> </w:t>
      </w:r>
      <w:r>
        <w:t xml:space="preserve">— Venkatraman (1989), Lawrence dan Lorsch (1967), dan tradisi</w:t>
      </w:r>
      <w:r>
        <w:t xml:space="preserve"> </w:t>
      </w:r>
      <w:r>
        <w:rPr>
          <w:i/>
          <w:iCs/>
        </w:rPr>
        <w:t xml:space="preserve">contingency theory</w:t>
      </w:r>
      <w:r>
        <w:t xml:space="preserve"> </w:t>
      </w:r>
      <w:r>
        <w:t xml:space="preserve">yang lebih luas. Keenam,</w:t>
      </w:r>
      <w:r>
        <w:t xml:space="preserve"> </w:t>
      </w:r>
      <w:r>
        <w:rPr>
          <w:b/>
          <w:bCs/>
        </w:rPr>
        <w:t xml:space="preserve">disclosure metodologis lengkap</w:t>
      </w:r>
      <w:r>
        <w:t xml:space="preserve"> </w:t>
      </w:r>
      <w:r>
        <w:t xml:space="preserve">—</w:t>
      </w:r>
      <w:r>
        <w:t xml:space="preserve"> </w:t>
      </w:r>
      <w:r>
        <w:rPr>
          <w:i/>
          <w:iCs/>
        </w:rPr>
        <w:t xml:space="preserve">sampling frame, response rate, demographic profile, full questionnaire, statistical software output</w:t>
      </w:r>
      <w:r>
        <w:t xml:space="preserve">. Bila kelima agenda ini dilakukan, artikel akan layak ditawarkan ke jurnal</w:t>
      </w:r>
      <w:r>
        <w:t xml:space="preserve"> </w:t>
      </w:r>
      <w:r>
        <w:rPr>
          <w:i/>
          <w:iCs/>
        </w:rPr>
        <w:t xml:space="preserve">peer-reviewed top-tier</w:t>
      </w:r>
      <w:r>
        <w:t xml:space="preserve"> </w:t>
      </w:r>
      <w:r>
        <w:t xml:space="preserve">— bukan hanya ke</w:t>
      </w:r>
      <w:r>
        <w:t xml:space="preserve"> </w:t>
      </w:r>
      <w:r>
        <w:rPr>
          <w:i/>
          <w:iCs/>
        </w:rPr>
        <w:t xml:space="preserve">conference paper venue</w:t>
      </w:r>
      <w:r>
        <w:t xml:space="preserve">.</w:t>
      </w:r>
    </w:p>
    <w:bookmarkEnd w:id="60"/>
    <w:bookmarkStart w:id="61" w:name="penilaian-kontribusi-orisinal"/>
    <w:p>
      <w:pPr>
        <w:pStyle w:val="Heading3"/>
      </w:pPr>
      <w:r>
        <w:t xml:space="preserve">Penilaian Kontribusi Orisinal</w:t>
      </w:r>
    </w:p>
    <w:p>
      <w:pPr>
        <w:pStyle w:val="FirstParagraph"/>
      </w:pPr>
      <w:r>
        <w:t xml:space="preserve">Penilaian akhir terhadap kontribusi orisinal artikel adalah ini: sebagai</w:t>
      </w:r>
      <w:r>
        <w:t xml:space="preserve"> </w:t>
      </w:r>
      <w:r>
        <w:rPr>
          <w:i/>
          <w:iCs/>
        </w:rPr>
        <w:t xml:space="preserve">agenda-setting piece</w:t>
      </w:r>
      <w:r>
        <w:t xml:space="preserve"> </w:t>
      </w:r>
      <w:r>
        <w:t xml:space="preserve">dan</w:t>
      </w:r>
      <w:r>
        <w:t xml:space="preserve"> </w:t>
      </w:r>
      <w:r>
        <w:rPr>
          <w:i/>
          <w:iCs/>
        </w:rPr>
        <w:t xml:space="preserve">classroom discussion material</w:t>
      </w:r>
      <w:r>
        <w:t xml:space="preserve">, artikel ini berkontribusi nyata — ia mengangkat topik penting (</w:t>
      </w:r>
      <w:r>
        <w:rPr>
          <w:i/>
          <w:iCs/>
        </w:rPr>
        <w:t xml:space="preserve">M&amp;A failure</w:t>
      </w:r>
      <w:r>
        <w:t xml:space="preserve">,</w:t>
      </w:r>
      <w:r>
        <w:t xml:space="preserve"> </w:t>
      </w:r>
      <w:r>
        <w:rPr>
          <w:i/>
          <w:iCs/>
        </w:rPr>
        <w:t xml:space="preserve">strategic fit</w:t>
      </w:r>
      <w:r>
        <w:t xml:space="preserve">,</w:t>
      </w:r>
      <w:r>
        <w:t xml:space="preserve"> </w:t>
      </w:r>
      <w:r>
        <w:rPr>
          <w:i/>
          <w:iCs/>
        </w:rPr>
        <w:t xml:space="preserve">organizational alignment</w:t>
      </w:r>
      <w:r>
        <w:t xml:space="preserve">), menyediakan kerangka diagnostik yang aplikatif (</w:t>
      </w:r>
      <w:r>
        <w:rPr>
          <w:i/>
          <w:iCs/>
        </w:rPr>
        <w:t xml:space="preserve">4Cs</w:t>
      </w:r>
      <w:r>
        <w:t xml:space="preserve">), dan menampilkan upaya empiris yang berbeda dari</w:t>
      </w:r>
      <w:r>
        <w:t xml:space="preserve"> </w:t>
      </w:r>
      <w:r>
        <w:rPr>
          <w:i/>
          <w:iCs/>
        </w:rPr>
        <w:t xml:space="preserve">opinion piece</w:t>
      </w:r>
      <w:r>
        <w:t xml:space="preserve"> </w:t>
      </w:r>
      <w:r>
        <w:t xml:space="preserve">murni. Sebagai</w:t>
      </w:r>
      <w:r>
        <w:t xml:space="preserve"> </w:t>
      </w:r>
      <w:r>
        <w:rPr>
          <w:i/>
          <w:iCs/>
        </w:rPr>
        <w:t xml:space="preserve">scholarly contribution</w:t>
      </w:r>
      <w:r>
        <w:t xml:space="preserve"> </w:t>
      </w:r>
      <w:r>
        <w:t xml:space="preserve">yang dapat dipertanggungjawabkan secara metodologis, artikel ini memiliki terlalu banyak limitasi — konflasi</w:t>
      </w:r>
      <w:r>
        <w:t xml:space="preserve"> </w:t>
      </w:r>
      <w:r>
        <w:rPr>
          <w:i/>
          <w:iCs/>
        </w:rPr>
        <w:t xml:space="preserve">sustainability</w:t>
      </w:r>
      <w:r>
        <w:t xml:space="preserve">/SCA,</w:t>
      </w:r>
      <w:r>
        <w:t xml:space="preserve"> </w:t>
      </w:r>
      <w:r>
        <w:rPr>
          <w:i/>
          <w:iCs/>
        </w:rPr>
        <w:t xml:space="preserve">empirical lag</w:t>
      </w:r>
      <w:r>
        <w:t xml:space="preserve"> </w:t>
      </w:r>
      <w:r>
        <w:t xml:space="preserve">yang tidak diungkap, Z-test yang dipertanyakan, ketiadaan</w:t>
      </w:r>
      <w:r>
        <w:t xml:space="preserve"> </w:t>
      </w:r>
      <w:r>
        <w:rPr>
          <w:i/>
          <w:iCs/>
        </w:rPr>
        <w:t xml:space="preserve">construct validity</w:t>
      </w:r>
      <w:r>
        <w:t xml:space="preserve">, basis empiris yang sempit, dan disclosure metodologis yang minim. Posisi tier yang tepat untuk artikel ini adalah</w:t>
      </w:r>
      <w:r>
        <w:t xml:space="preserve"> </w:t>
      </w:r>
      <w:r>
        <w:rPr>
          <w:i/>
          <w:iCs/>
        </w:rPr>
        <w:t xml:space="preserve">tier 2/3 conference paper</w:t>
      </w:r>
      <w:r>
        <w:t xml:space="preserve"> </w:t>
      </w:r>
      <w:r>
        <w:t xml:space="preserve">— useful sebagai</w:t>
      </w:r>
      <w:r>
        <w:t xml:space="preserve"> </w:t>
      </w:r>
      <w:r>
        <w:rPr>
          <w:i/>
          <w:iCs/>
        </w:rPr>
        <w:t xml:space="preserve">teaching material</w:t>
      </w:r>
      <w:r>
        <w:t xml:space="preserve"> </w:t>
      </w:r>
      <w:r>
        <w:t xml:space="preserve">dan</w:t>
      </w:r>
      <w:r>
        <w:t xml:space="preserve"> </w:t>
      </w:r>
      <w:r>
        <w:rPr>
          <w:i/>
          <w:iCs/>
        </w:rPr>
        <w:t xml:space="preserve">agenda-setting</w:t>
      </w:r>
      <w:r>
        <w:t xml:space="preserve">, tetapi tidak dapat dijadikan dasar utama untuk klaim teoretis atau rekomendasi praktis yang berdampak besar. Bagi pengajar MST304, artikel ini sangat berguna sebagai bahan diskusi</w:t>
      </w:r>
      <w:r>
        <w:t xml:space="preserve"> </w:t>
      </w:r>
      <w:r>
        <w:rPr>
          <w:i/>
          <w:iCs/>
        </w:rPr>
        <w:t xml:space="preserve">sociology of management research</w:t>
      </w:r>
      <w:r>
        <w:t xml:space="preserve"> </w:t>
      </w:r>
      <w:r>
        <w:t xml:space="preserve">— bagaimana paper konferensi dengan eksekusi metodologis terbatas tetap dapat mengangkat topik penting dan memicu agenda riset lanjutan. Penilaian ini bukan untuk merendahkan upaya penulis, melainkan untuk memposisikan kontribusi pada tempat yang sesuai dalam hierarki</w:t>
      </w:r>
      <w:r>
        <w:t xml:space="preserve"> </w:t>
      </w:r>
      <w:r>
        <w:rPr>
          <w:i/>
          <w:iCs/>
        </w:rPr>
        <w:t xml:space="preserve">evidence-based management</w:t>
      </w:r>
      <w:r>
        <w:t xml:space="preserve">.</w:t>
      </w:r>
    </w:p>
    <w:bookmarkEnd w:id="61"/>
    <w:bookmarkEnd w:id="62"/>
    <w:bookmarkStart w:id="66" w:name="X08ce25e3f5d53481848f16121df5d913eaf4e5d"/>
    <w:p>
      <w:pPr>
        <w:pStyle w:val="Heading2"/>
      </w:pPr>
      <w:r>
        <w:t xml:space="preserve">§8 Implikasi bagi Pemahaman Manajemen Strategik</w:t>
      </w:r>
    </w:p>
    <w:bookmarkStart w:id="63" w:name="implikasi-teoretis"/>
    <w:p>
      <w:pPr>
        <w:pStyle w:val="Heading3"/>
      </w:pPr>
      <w:r>
        <w:t xml:space="preserve">Implikasi Teoretis</w:t>
      </w:r>
    </w:p>
    <w:p>
      <w:pPr>
        <w:pStyle w:val="FirstParagraph"/>
      </w:pPr>
      <w:r>
        <w:t xml:space="preserve">Implikasi teoretis utama dari artikel Okebaram dan Onuoha (2018), dengan kesadaran akan keterbatasannya, adalah dorongan untuk melengkapi konsep</w:t>
      </w:r>
      <w:r>
        <w:t xml:space="preserve"> </w:t>
      </w:r>
      <w:r>
        <w:rPr>
          <w:i/>
          <w:iCs/>
        </w:rPr>
        <w:t xml:space="preserve">strategic fit</w:t>
      </w:r>
      <w:r>
        <w:t xml:space="preserve"> </w:t>
      </w:r>
      <w:r>
        <w:t xml:space="preserve">dengan kerangka operasional yang lebih granular.</w:t>
      </w:r>
      <w:r>
        <w:t xml:space="preserve"> </w:t>
      </w:r>
      <w:r>
        <w:rPr>
          <w:i/>
          <w:iCs/>
        </w:rPr>
        <w:t xml:space="preserve">Fit</w:t>
      </w:r>
      <w:r>
        <w:t xml:space="preserve"> </w:t>
      </w:r>
      <w:r>
        <w:t xml:space="preserve">sebagai konsep abstrak telah lama hadir dalam literatur — sejak Lawrence dan Lorsch (1967) sebagai</w:t>
      </w:r>
      <w:r>
        <w:t xml:space="preserve"> </w:t>
      </w:r>
      <w:r>
        <w:rPr>
          <w:i/>
          <w:iCs/>
        </w:rPr>
        <w:t xml:space="preserve">external critical reference</w:t>
      </w:r>
      <w:r>
        <w:t xml:space="preserve"> </w:t>
      </w:r>
      <w:r>
        <w:t xml:space="preserve">yang tidak dirujuk dalam artikel ini — tetapi operasionalisasi yang konkret seperti</w:t>
      </w:r>
      <w:r>
        <w:t xml:space="preserve"> </w:t>
      </w:r>
      <w:r>
        <w:rPr>
          <w:i/>
          <w:iCs/>
        </w:rPr>
        <w:t xml:space="preserve">4Cs</w:t>
      </w:r>
      <w:r>
        <w:t xml:space="preserve"> </w:t>
      </w:r>
      <w:r>
        <w:t xml:space="preserve">Medcof (1997) membantu menerjemahkan abstraksi menjadi panduan diagnostik.</w:t>
      </w:r>
      <w:r>
        <w:t xml:space="preserve"> </w:t>
      </w:r>
      <w:r>
        <w:rPr>
          <w:b/>
          <w:bCs/>
        </w:rPr>
        <w:t xml:space="preserve">Pelajaran teoretis</w:t>
      </w:r>
      <w:r>
        <w:t xml:space="preserve"> </w:t>
      </w:r>
      <w:r>
        <w:t xml:space="preserve">yang dapat ditarik adalah ini: kerangka</w:t>
      </w:r>
      <w:r>
        <w:t xml:space="preserve"> </w:t>
      </w:r>
      <w:r>
        <w:rPr>
          <w:i/>
          <w:iCs/>
        </w:rPr>
        <w:t xml:space="preserve">fit</w:t>
      </w:r>
      <w:r>
        <w:t xml:space="preserve"> </w:t>
      </w:r>
      <w:r>
        <w:t xml:space="preserve">memerlukan dua komponen yang seimbang —</w:t>
      </w:r>
      <w:r>
        <w:t xml:space="preserve"> </w:t>
      </w:r>
      <w:r>
        <w:rPr>
          <w:i/>
          <w:iCs/>
        </w:rPr>
        <w:t xml:space="preserve">conceptual depth</w:t>
      </w:r>
      <w:r>
        <w:t xml:space="preserve"> </w:t>
      </w:r>
      <w:r>
        <w:t xml:space="preserve">(kerangka teoretis yang kuat, definisi yang jelas, akar literatur yang dalam) dan</w:t>
      </w:r>
      <w:r>
        <w:t xml:space="preserve"> </w:t>
      </w:r>
      <w:r>
        <w:rPr>
          <w:i/>
          <w:iCs/>
        </w:rPr>
        <w:t xml:space="preserve">operational granularity</w:t>
      </w:r>
      <w:r>
        <w:t xml:space="preserve"> </w:t>
      </w:r>
      <w:r>
        <w:t xml:space="preserve">(dimensi spesifik yang dapat diukur, indikator yang dapat divalidasi, mekanisme yang dapat diuji). Artikel ini menyediakan komponen kedua dengan cukup baik melalui</w:t>
      </w:r>
      <w:r>
        <w:t xml:space="preserve"> </w:t>
      </w:r>
      <w:r>
        <w:rPr>
          <w:i/>
          <w:iCs/>
        </w:rPr>
        <w:t xml:space="preserve">4Cs</w:t>
      </w:r>
      <w:r>
        <w:t xml:space="preserve">, tetapi gagal pada komponen pertama karena ketiadaan kerangka konseptual yang kohesif. Pelajaran ini berlaku bagi siapa pun yang ingin mengembangkan teori</w:t>
      </w:r>
      <w:r>
        <w:t xml:space="preserve"> </w:t>
      </w:r>
      <w:r>
        <w:rPr>
          <w:i/>
          <w:iCs/>
        </w:rPr>
        <w:t xml:space="preserve">fit</w:t>
      </w:r>
      <w:r>
        <w:t xml:space="preserve"> </w:t>
      </w:r>
      <w:r>
        <w:t xml:space="preserve">lanjutan — Magister Akuntansi yang merancang tesis tentang</w:t>
      </w:r>
      <w:r>
        <w:t xml:space="preserve"> </w:t>
      </w:r>
      <w:r>
        <w:rPr>
          <w:i/>
          <w:iCs/>
        </w:rPr>
        <w:t xml:space="preserve">strategic fit</w:t>
      </w:r>
      <w:r>
        <w:t xml:space="preserve"> </w:t>
      </w:r>
      <w:r>
        <w:t xml:space="preserve">harus memastikan kedua komponen ini terpenuhi sebelum melaju ke pengumpulan data empiris. Tanpa</w:t>
      </w:r>
      <w:r>
        <w:t xml:space="preserve"> </w:t>
      </w:r>
      <w:r>
        <w:rPr>
          <w:i/>
          <w:iCs/>
        </w:rPr>
        <w:t xml:space="preserve">conceptual depth</w:t>
      </w:r>
      <w:r>
        <w:t xml:space="preserve">,</w:t>
      </w:r>
      <w:r>
        <w:t xml:space="preserve"> </w:t>
      </w:r>
      <w:r>
        <w:rPr>
          <w:i/>
          <w:iCs/>
        </w:rPr>
        <w:t xml:space="preserve">operational granularity</w:t>
      </w:r>
      <w:r>
        <w:t xml:space="preserve"> </w:t>
      </w:r>
      <w:r>
        <w:t xml:space="preserve">hanya menghasilkan</w:t>
      </w:r>
      <w:r>
        <w:t xml:space="preserve"> </w:t>
      </w:r>
      <w:r>
        <w:rPr>
          <w:i/>
          <w:iCs/>
        </w:rPr>
        <w:t xml:space="preserve">checklist</w:t>
      </w:r>
      <w:r>
        <w:t xml:space="preserve"> </w:t>
      </w:r>
      <w:r>
        <w:t xml:space="preserve">tanpa daya prediktif.</w:t>
      </w:r>
    </w:p>
    <w:bookmarkEnd w:id="63"/>
    <w:bookmarkStart w:id="64" w:name="implikasi-manajerial"/>
    <w:p>
      <w:pPr>
        <w:pStyle w:val="Heading3"/>
      </w:pPr>
      <w:r>
        <w:t xml:space="preserve">Implikasi Manajerial</w:t>
      </w:r>
    </w:p>
    <w:p>
      <w:pPr>
        <w:pStyle w:val="FirstParagraph"/>
      </w:pPr>
      <w:r>
        <w:t xml:space="preserve">Implikasi manajerial paling langsung dari artikel ini adalah bahwa praktisi M&amp;A dan</w:t>
      </w:r>
      <w:r>
        <w:t xml:space="preserve"> </w:t>
      </w:r>
      <w:r>
        <w:rPr>
          <w:i/>
          <w:iCs/>
        </w:rPr>
        <w:t xml:space="preserve">alliance manager</w:t>
      </w:r>
      <w:r>
        <w:t xml:space="preserve"> </w:t>
      </w:r>
      <w:r>
        <w:t xml:space="preserve">sebaiknya mengadopsi</w:t>
      </w:r>
      <w:r>
        <w:t xml:space="preserve"> </w:t>
      </w:r>
      <w:r>
        <w:rPr>
          <w:i/>
          <w:iCs/>
        </w:rPr>
        <w:t xml:space="preserve">4Cs diagnostic check</w:t>
      </w:r>
      <w:r>
        <w:t xml:space="preserve"> </w:t>
      </w:r>
      <w:r>
        <w:t xml:space="preserve">sebagai bagian dari</w:t>
      </w:r>
      <w:r>
        <w:t xml:space="preserve"> </w:t>
      </w:r>
      <w:r>
        <w:rPr>
          <w:i/>
          <w:iCs/>
        </w:rPr>
        <w:t xml:space="preserve">pre-deal due diligence</w:t>
      </w:r>
      <w:r>
        <w:t xml:space="preserve">.</w:t>
      </w:r>
      <w:r>
        <w:t xml:space="preserve"> </w:t>
      </w:r>
      <w:r>
        <w:rPr>
          <w:i/>
          <w:iCs/>
        </w:rPr>
        <w:t xml:space="preserve">Due diligence</w:t>
      </w:r>
      <w:r>
        <w:t xml:space="preserve"> </w:t>
      </w:r>
      <w:r>
        <w:t xml:space="preserve">finansial —</w:t>
      </w:r>
      <w:r>
        <w:t xml:space="preserve"> </w:t>
      </w:r>
      <w:r>
        <w:rPr>
          <w:i/>
          <w:iCs/>
        </w:rPr>
        <w:t xml:space="preserve">valuation</w:t>
      </w:r>
      <w:r>
        <w:t xml:space="preserve">,</w:t>
      </w:r>
      <w:r>
        <w:t xml:space="preserve"> </w:t>
      </w:r>
      <w:r>
        <w:rPr>
          <w:i/>
          <w:iCs/>
        </w:rPr>
        <w:t xml:space="preserve">cash flow projection</w:t>
      </w:r>
      <w:r>
        <w:t xml:space="preserve">,</w:t>
      </w:r>
      <w:r>
        <w:t xml:space="preserve"> </w:t>
      </w:r>
      <w:r>
        <w:rPr>
          <w:i/>
          <w:iCs/>
        </w:rPr>
        <w:t xml:space="preserve">debt structure</w:t>
      </w:r>
      <w:r>
        <w:t xml:space="preserve"> </w:t>
      </w:r>
      <w:r>
        <w:t xml:space="preserve">— adalah praktik standar yang sudah lama berjalan. Yang sering kurang adalah</w:t>
      </w:r>
      <w:r>
        <w:t xml:space="preserve"> </w:t>
      </w:r>
      <w:r>
        <w:rPr>
          <w:i/>
          <w:iCs/>
        </w:rPr>
        <w:t xml:space="preserve">due diligence</w:t>
      </w:r>
      <w:r>
        <w:t xml:space="preserve"> </w:t>
      </w:r>
      <w:r>
        <w:t xml:space="preserve">pada empat dimensi non-finansial:</w:t>
      </w:r>
      <w:r>
        <w:t xml:space="preserve"> </w:t>
      </w:r>
      <w:r>
        <w:rPr>
          <w:i/>
          <w:iCs/>
        </w:rPr>
        <w:t xml:space="preserve">Capability fit</w:t>
      </w:r>
      <w:r>
        <w:t xml:space="preserve"> </w:t>
      </w:r>
      <w:r>
        <w:t xml:space="preserve">(apakah kapabilitas yang dibawa kedua pihak saling melengkapi atau saling tumpang tindih),</w:t>
      </w:r>
      <w:r>
        <w:t xml:space="preserve"> </w:t>
      </w:r>
      <w:r>
        <w:rPr>
          <w:i/>
          <w:iCs/>
        </w:rPr>
        <w:t xml:space="preserve">Compatibility fit</w:t>
      </w:r>
      <w:r>
        <w:t xml:space="preserve"> </w:t>
      </w:r>
      <w:r>
        <w:t xml:space="preserve">(apakah budaya organisasi,</w:t>
      </w:r>
      <w:r>
        <w:t xml:space="preserve"> </w:t>
      </w:r>
      <w:r>
        <w:rPr>
          <w:i/>
          <w:iCs/>
        </w:rPr>
        <w:t xml:space="preserve">managerial style</w:t>
      </w:r>
      <w:r>
        <w:t xml:space="preserve">, dan</w:t>
      </w:r>
      <w:r>
        <w:t xml:space="preserve"> </w:t>
      </w:r>
      <w:r>
        <w:rPr>
          <w:i/>
          <w:iCs/>
        </w:rPr>
        <w:t xml:space="preserve">operational rhythm</w:t>
      </w:r>
      <w:r>
        <w:t xml:space="preserve"> </w:t>
      </w:r>
      <w:r>
        <w:t xml:space="preserve">dapat berdialog),</w:t>
      </w:r>
      <w:r>
        <w:t xml:space="preserve"> </w:t>
      </w:r>
      <w:r>
        <w:rPr>
          <w:i/>
          <w:iCs/>
        </w:rPr>
        <w:t xml:space="preserve">Commitment fit</w:t>
      </w:r>
      <w:r>
        <w:t xml:space="preserve"> </w:t>
      </w:r>
      <w:r>
        <w:t xml:space="preserve">(apakah kedua pihak menginvestasikan sumber daya proporsional terhadap stakes), dan</w:t>
      </w:r>
      <w:r>
        <w:t xml:space="preserve"> </w:t>
      </w:r>
      <w:r>
        <w:rPr>
          <w:i/>
          <w:iCs/>
        </w:rPr>
        <w:t xml:space="preserve">Control fit</w:t>
      </w:r>
      <w:r>
        <w:t xml:space="preserve"> </w:t>
      </w:r>
      <w:r>
        <w:t xml:space="preserve">(apakah struktur tata kelola pasca-integrasi disepakati secara eksplisit). Pesan ini sederhana tetapi kuat: kegagalan M&amp;A 50–60% sebagian besar dapat dimitigasi bila empat dimensi tersebut diperiksa secara serius sebelum deal ditutup. Bagi komite akuisisi,</w:t>
      </w:r>
      <w:r>
        <w:t xml:space="preserve"> </w:t>
      </w:r>
      <w:r>
        <w:rPr>
          <w:i/>
          <w:iCs/>
        </w:rPr>
        <w:t xml:space="preserve">board of directors</w:t>
      </w:r>
      <w:r>
        <w:t xml:space="preserve">, atau</w:t>
      </w:r>
      <w:r>
        <w:t xml:space="preserve"> </w:t>
      </w:r>
      <w:r>
        <w:rPr>
          <w:i/>
          <w:iCs/>
        </w:rPr>
        <w:t xml:space="preserve">deal team</w:t>
      </w:r>
      <w:r>
        <w:t xml:space="preserve"> </w:t>
      </w:r>
      <w:r>
        <w:t xml:space="preserve">di lembaga</w:t>
      </w:r>
      <w:r>
        <w:t xml:space="preserve"> </w:t>
      </w:r>
      <w:r>
        <w:rPr>
          <w:i/>
          <w:iCs/>
        </w:rPr>
        <w:t xml:space="preserve">investment banking</w:t>
      </w:r>
      <w:r>
        <w:t xml:space="preserve"> </w:t>
      </w:r>
      <w:r>
        <w:t xml:space="preserve">dan</w:t>
      </w:r>
      <w:r>
        <w:t xml:space="preserve"> </w:t>
      </w:r>
      <w:r>
        <w:rPr>
          <w:i/>
          <w:iCs/>
        </w:rPr>
        <w:t xml:space="preserve">corporate development</w:t>
      </w:r>
      <w:r>
        <w:t xml:space="preserve">,</w:t>
      </w:r>
      <w:r>
        <w:t xml:space="preserve"> </w:t>
      </w:r>
      <w:r>
        <w:rPr>
          <w:i/>
          <w:iCs/>
        </w:rPr>
        <w:t xml:space="preserve">4Cs</w:t>
      </w:r>
      <w:r>
        <w:t xml:space="preserve"> </w:t>
      </w:r>
      <w:r>
        <w:t xml:space="preserve">dapat diintegrasikan ke dalam</w:t>
      </w:r>
      <w:r>
        <w:t xml:space="preserve"> </w:t>
      </w:r>
      <w:r>
        <w:rPr>
          <w:i/>
          <w:iCs/>
        </w:rPr>
        <w:t xml:space="preserve">deal-evaluation checklist</w:t>
      </w:r>
      <w:r>
        <w:t xml:space="preserve"> </w:t>
      </w:r>
      <w:r>
        <w:t xml:space="preserve">yang lebih komprehensif. Praktik</w:t>
      </w:r>
      <w:r>
        <w:t xml:space="preserve"> </w:t>
      </w:r>
      <w:r>
        <w:rPr>
          <w:i/>
          <w:iCs/>
        </w:rPr>
        <w:t xml:space="preserve">post-merger integration</w:t>
      </w:r>
      <w:r>
        <w:t xml:space="preserve"> </w:t>
      </w:r>
      <w:r>
        <w:t xml:space="preserve">juga dapat dipandu oleh kerangka ini —</w:t>
      </w:r>
      <w:r>
        <w:t xml:space="preserve"> </w:t>
      </w:r>
      <w:r>
        <w:rPr>
          <w:i/>
          <w:iCs/>
        </w:rPr>
        <w:t xml:space="preserve">PMI office</w:t>
      </w:r>
      <w:r>
        <w:t xml:space="preserve"> </w:t>
      </w:r>
      <w:r>
        <w:t xml:space="preserve">dapat mengaudit</w:t>
      </w:r>
      <w:r>
        <w:t xml:space="preserve"> </w:t>
      </w:r>
      <w:r>
        <w:rPr>
          <w:i/>
          <w:iCs/>
        </w:rPr>
        <w:t xml:space="preserve">4Cs alignment</w:t>
      </w:r>
      <w:r>
        <w:t xml:space="preserve"> </w:t>
      </w:r>
      <w:r>
        <w:t xml:space="preserve">pada 30, 90, dan 180 hari pasca-deal untuk mendeteksi tegangan integrasi sejak dini.</w:t>
      </w:r>
    </w:p>
    <w:bookmarkEnd w:id="64"/>
    <w:bookmarkStart w:id="65" w:name="implikasi-untuk-konteks-indonesia"/>
    <w:p>
      <w:pPr>
        <w:pStyle w:val="Heading3"/>
      </w:pPr>
      <w:r>
        <w:t xml:space="preserve">Implikasi untuk Konteks Indonesia</w:t>
      </w:r>
    </w:p>
    <w:p>
      <w:pPr>
        <w:pStyle w:val="FirstParagraph"/>
      </w:pPr>
      <w:r>
        <w:t xml:space="preserve">Konteks Indonesia menawarkan empat ilustrasi konkret yang dapat menguji kerangka</w:t>
      </w:r>
      <w:r>
        <w:t xml:space="preserve"> </w:t>
      </w:r>
      <w:r>
        <w:rPr>
          <w:i/>
          <w:iCs/>
        </w:rPr>
        <w:t xml:space="preserve">4Cs</w:t>
      </w:r>
      <w:r>
        <w:t xml:space="preserve"> </w:t>
      </w:r>
      <w:r>
        <w:t xml:space="preserve">sekaligus mengangkat kelemahan konseptual artikel.</w:t>
      </w:r>
      <w:r>
        <w:t xml:space="preserve"> </w:t>
      </w:r>
      <w:r>
        <w:rPr>
          <w:b/>
          <w:bCs/>
        </w:rPr>
        <w:t xml:space="preserve">Pertama, Bank Mandiri pasca-merger 1999</w:t>
      </w:r>
      <w:r>
        <w:t xml:space="preserve"> </w:t>
      </w:r>
      <w:r>
        <w:t xml:space="preserve">— yang dibentuk dari konsolidasi empat bank legacy yaitu Bank Bumi Daya, Bank Dagang Negara, Bank Ekspor Impor Indonesia, dan Bank Pembangunan Indonesia (Bapindo) — merupakan studi kasus klasik untuk</w:t>
      </w:r>
      <w:r>
        <w:t xml:space="preserve"> </w:t>
      </w:r>
      <w:r>
        <w:rPr>
          <w:i/>
          <w:iCs/>
        </w:rPr>
        <w:t xml:space="preserve">4Cs integration</w:t>
      </w:r>
      <w:r>
        <w:t xml:space="preserve"> </w:t>
      </w:r>
      <w:r>
        <w:t xml:space="preserve">dalam konteks Indonesia.</w:t>
      </w:r>
      <w:r>
        <w:t xml:space="preserve"> </w:t>
      </w:r>
      <w:r>
        <w:rPr>
          <w:i/>
          <w:iCs/>
        </w:rPr>
        <w:t xml:space="preserve">Capability fit</w:t>
      </w:r>
      <w:r>
        <w:t xml:space="preserve"> </w:t>
      </w:r>
      <w:r>
        <w:t xml:space="preserve">dieksekusi melalui rasionalisasi portofolio (Bapindo menyumbang</w:t>
      </w:r>
      <w:r>
        <w:t xml:space="preserve"> </w:t>
      </w:r>
      <w:r>
        <w:rPr>
          <w:i/>
          <w:iCs/>
        </w:rPr>
        <w:t xml:space="preserve">project finance</w:t>
      </w:r>
      <w:r>
        <w:t xml:space="preserve">, BDN menyumbang</w:t>
      </w:r>
      <w:r>
        <w:t xml:space="preserve"> </w:t>
      </w:r>
      <w:r>
        <w:rPr>
          <w:i/>
          <w:iCs/>
        </w:rPr>
        <w:t xml:space="preserve">commercial banking</w:t>
      </w:r>
      <w:r>
        <w:t xml:space="preserve">, Bank Exim menyumbang</w:t>
      </w:r>
      <w:r>
        <w:t xml:space="preserve"> </w:t>
      </w:r>
      <w:r>
        <w:rPr>
          <w:i/>
          <w:iCs/>
        </w:rPr>
        <w:t xml:space="preserve">trade finance</w:t>
      </w:r>
      <w:r>
        <w:t xml:space="preserve">, BBD menyumbang</w:t>
      </w:r>
      <w:r>
        <w:t xml:space="preserve"> </w:t>
      </w:r>
      <w:r>
        <w:rPr>
          <w:i/>
          <w:iCs/>
        </w:rPr>
        <w:t xml:space="preserve">retail</w:t>
      </w:r>
      <w:r>
        <w:t xml:space="preserve">);</w:t>
      </w:r>
      <w:r>
        <w:t xml:space="preserve"> </w:t>
      </w:r>
      <w:r>
        <w:rPr>
          <w:i/>
          <w:iCs/>
        </w:rPr>
        <w:t xml:space="preserve">Compatibility fit</w:t>
      </w:r>
      <w:r>
        <w:t xml:space="preserve"> </w:t>
      </w:r>
      <w:r>
        <w:t xml:space="preserve">dijaga melalui integrasi kultural yang panjang melalui</w:t>
      </w:r>
      <w:r>
        <w:t xml:space="preserve"> </w:t>
      </w:r>
      <w:r>
        <w:rPr>
          <w:i/>
          <w:iCs/>
        </w:rPr>
        <w:t xml:space="preserve">Mandiri Way</w:t>
      </w:r>
      <w:r>
        <w:t xml:space="preserve">;</w:t>
      </w:r>
      <w:r>
        <w:t xml:space="preserve"> </w:t>
      </w:r>
      <w:r>
        <w:rPr>
          <w:i/>
          <w:iCs/>
        </w:rPr>
        <w:t xml:space="preserve">Commitment fit</w:t>
      </w:r>
      <w:r>
        <w:t xml:space="preserve"> </w:t>
      </w:r>
      <w:r>
        <w:t xml:space="preserve">diperkuat melalui dukungan pemerintah dan kepemimpinan senior yang konsisten;</w:t>
      </w:r>
      <w:r>
        <w:t xml:space="preserve"> </w:t>
      </w:r>
      <w:r>
        <w:rPr>
          <w:i/>
          <w:iCs/>
        </w:rPr>
        <w:t xml:space="preserve">Control fit</w:t>
      </w:r>
      <w:r>
        <w:t xml:space="preserve"> </w:t>
      </w:r>
      <w:r>
        <w:t xml:space="preserve">diimplementasi melalui</w:t>
      </w:r>
      <w:r>
        <w:t xml:space="preserve"> </w:t>
      </w:r>
      <w:r>
        <w:rPr>
          <w:i/>
          <w:iCs/>
        </w:rPr>
        <w:t xml:space="preserve">centralized risk management</w:t>
      </w:r>
      <w:r>
        <w:t xml:space="preserve"> </w:t>
      </w:r>
      <w:r>
        <w:t xml:space="preserve">dan</w:t>
      </w:r>
      <w:r>
        <w:t xml:space="preserve"> </w:t>
      </w:r>
      <w:r>
        <w:rPr>
          <w:i/>
          <w:iCs/>
        </w:rPr>
        <w:t xml:space="preserve">core banking</w:t>
      </w:r>
      <w:r>
        <w:t xml:space="preserve"> </w:t>
      </w:r>
      <w:r>
        <w:t xml:space="preserve">tunggal. Berhasilnya Bank Mandiri sebagai bank terbesar di Indonesia menunjukkan bahwa eksekusi</w:t>
      </w:r>
      <w:r>
        <w:t xml:space="preserve"> </w:t>
      </w:r>
      <w:r>
        <w:rPr>
          <w:i/>
          <w:iCs/>
        </w:rPr>
        <w:t xml:space="preserve">4Cs</w:t>
      </w:r>
      <w:r>
        <w:t xml:space="preserve"> </w:t>
      </w:r>
      <w:r>
        <w:t xml:space="preserve">yang konsisten dapat menghasilkan</w:t>
      </w:r>
      <w:r>
        <w:t xml:space="preserve"> </w:t>
      </w:r>
      <w:r>
        <w:rPr>
          <w:i/>
          <w:iCs/>
        </w:rPr>
        <w:t xml:space="preserve">organizational effectiveness</w:t>
      </w:r>
      <w:r>
        <w:t xml:space="preserve"> </w:t>
      </w:r>
      <w:r>
        <w:t xml:space="preserve">— meskipun hubungan kausal definitif tetap tidak dapat ditarik karena banyak faktor lain (dukungan regulasi, kondisi makro, kepemimpinan individual) berperan paralel.</w:t>
      </w:r>
    </w:p>
    <w:p>
      <w:pPr>
        <w:pStyle w:val="BodyText"/>
      </w:pPr>
      <w:r>
        <w:rPr>
          <w:b/>
          <w:bCs/>
        </w:rPr>
        <w:t xml:space="preserve">Kedua, Astra International</w:t>
      </w:r>
      <w:r>
        <w:t xml:space="preserve"> </w:t>
      </w:r>
      <w:r>
        <w:t xml:space="preserve">dengan rekam jejak akuisisi dan aliansi puluhan tahun —</w:t>
      </w:r>
      <w:r>
        <w:t xml:space="preserve"> </w:t>
      </w:r>
      <w:r>
        <w:rPr>
          <w:i/>
          <w:iCs/>
        </w:rPr>
        <w:t xml:space="preserve">joint venture</w:t>
      </w:r>
      <w:r>
        <w:t xml:space="preserve"> </w:t>
      </w:r>
      <w:r>
        <w:t xml:space="preserve">dengan Daihatsu (Astra Daihatsu Motor), dengan Honda (Astra Honda Motor), dengan Komatsu (United Tractors), dengan Toyota (Toyota Astra Motor) — menunjukkan praktik</w:t>
      </w:r>
      <w:r>
        <w:t xml:space="preserve"> </w:t>
      </w:r>
      <w:r>
        <w:rPr>
          <w:i/>
          <w:iCs/>
        </w:rPr>
        <w:t xml:space="preserve">4Cs</w:t>
      </w:r>
      <w:r>
        <w:t xml:space="preserve"> </w:t>
      </w:r>
      <w:r>
        <w:t xml:space="preserve">yang konsisten lintas dekade.</w:t>
      </w:r>
      <w:r>
        <w:t xml:space="preserve"> </w:t>
      </w:r>
      <w:r>
        <w:rPr>
          <w:i/>
          <w:iCs/>
        </w:rPr>
        <w:t xml:space="preserve">Capability fit</w:t>
      </w:r>
      <w:r>
        <w:t xml:space="preserve">: Astra menyumbang</w:t>
      </w:r>
      <w:r>
        <w:t xml:space="preserve"> </w:t>
      </w:r>
      <w:r>
        <w:rPr>
          <w:i/>
          <w:iCs/>
        </w:rPr>
        <w:t xml:space="preserve">local market knowledge</w:t>
      </w:r>
      <w:r>
        <w:t xml:space="preserve"> </w:t>
      </w:r>
      <w:r>
        <w:t xml:space="preserve">dan</w:t>
      </w:r>
      <w:r>
        <w:t xml:space="preserve"> </w:t>
      </w:r>
      <w:r>
        <w:rPr>
          <w:i/>
          <w:iCs/>
        </w:rPr>
        <w:t xml:space="preserve">distribution network</w:t>
      </w:r>
      <w:r>
        <w:t xml:space="preserve">; mitra global menyumbang</w:t>
      </w:r>
      <w:r>
        <w:t xml:space="preserve"> </w:t>
      </w:r>
      <w:r>
        <w:rPr>
          <w:i/>
          <w:iCs/>
        </w:rPr>
        <w:t xml:space="preserve">technology</w:t>
      </w:r>
      <w:r>
        <w:t xml:space="preserve"> </w:t>
      </w:r>
      <w:r>
        <w:t xml:space="preserve">dan</w:t>
      </w:r>
      <w:r>
        <w:t xml:space="preserve"> </w:t>
      </w:r>
      <w:r>
        <w:rPr>
          <w:i/>
          <w:iCs/>
        </w:rPr>
        <w:t xml:space="preserve">brand</w:t>
      </w:r>
      <w:r>
        <w:t xml:space="preserve">.</w:t>
      </w:r>
      <w:r>
        <w:t xml:space="preserve"> </w:t>
      </w:r>
      <w:r>
        <w:rPr>
          <w:i/>
          <w:iCs/>
        </w:rPr>
        <w:t xml:space="preserve">Compatibility fit</w:t>
      </w:r>
      <w:r>
        <w:t xml:space="preserve">: budaya Astra yang menghargai</w:t>
      </w:r>
      <w:r>
        <w:t xml:space="preserve"> </w:t>
      </w:r>
      <w:r>
        <w:rPr>
          <w:i/>
          <w:iCs/>
        </w:rPr>
        <w:t xml:space="preserve">operational excellence</w:t>
      </w:r>
      <w:r>
        <w:t xml:space="preserve"> </w:t>
      </w:r>
      <w:r>
        <w:t xml:space="preserve">dan disiplin proses cocok dengan kultur Jepang.</w:t>
      </w:r>
      <w:r>
        <w:t xml:space="preserve"> </w:t>
      </w:r>
      <w:r>
        <w:rPr>
          <w:i/>
          <w:iCs/>
        </w:rPr>
        <w:t xml:space="preserve">Commitment fit</w:t>
      </w:r>
      <w:r>
        <w:t xml:space="preserve">: kepemilikan saham yang seimbang (umumnya 50-50) dan kepemimpinan senior yang stabil.</w:t>
      </w:r>
      <w:r>
        <w:t xml:space="preserve"> </w:t>
      </w:r>
      <w:r>
        <w:rPr>
          <w:i/>
          <w:iCs/>
        </w:rPr>
        <w:t xml:space="preserve">Control fit</w:t>
      </w:r>
      <w:r>
        <w:t xml:space="preserve">: struktur tata kelola yang jelas dengan pembagian tanggung jawab (mitra menentukan produk dan teknologi; Astra menentukan distribusi dan layanan purna jual). Konsistensi</w:t>
      </w:r>
      <w:r>
        <w:t xml:space="preserve"> </w:t>
      </w:r>
      <w:r>
        <w:rPr>
          <w:i/>
          <w:iCs/>
        </w:rPr>
        <w:t xml:space="preserve">4Cs</w:t>
      </w:r>
      <w:r>
        <w:t xml:space="preserve"> </w:t>
      </w:r>
      <w:r>
        <w:t xml:space="preserve">lintas puluhan tahun menjadi salah satu penjelas mengapa Astra International tetap menjadi salah satu konglomerat paling sukses di Indonesia.</w:t>
      </w:r>
      <w:r>
        <w:t xml:space="preserve"> </w:t>
      </w:r>
      <w:r>
        <w:rPr>
          <w:b/>
          <w:bCs/>
        </w:rPr>
        <w:t xml:space="preserve">Ketiga, GoTo merger 2021</w:t>
      </w:r>
      <w:r>
        <w:t xml:space="preserve"> </w:t>
      </w:r>
      <w:r>
        <w:t xml:space="preserve">— gabungan Gojek dan Tokopedia menjadi GoTo Group — merupakan</w:t>
      </w:r>
      <w:r>
        <w:t xml:space="preserve"> </w:t>
      </w:r>
      <w:r>
        <w:rPr>
          <w:i/>
          <w:iCs/>
        </w:rPr>
        <w:t xml:space="preserve">fit test</w:t>
      </w:r>
      <w:r>
        <w:t xml:space="preserve"> </w:t>
      </w:r>
      <w:r>
        <w:t xml:space="preserve">terbesar dalam sejarah ekonomi digital Indonesia.</w:t>
      </w:r>
      <w:r>
        <w:t xml:space="preserve"> </w:t>
      </w:r>
      <w:r>
        <w:rPr>
          <w:i/>
          <w:iCs/>
        </w:rPr>
        <w:t xml:space="preserve">Capability fit</w:t>
      </w:r>
      <w:r>
        <w:t xml:space="preserve"> </w:t>
      </w:r>
      <w:r>
        <w:t xml:space="preserve">(ride-hailing + e-commerce + fintech) terlihat di atas kertas, tetapi</w:t>
      </w:r>
      <w:r>
        <w:t xml:space="preserve"> </w:t>
      </w:r>
      <w:r>
        <w:rPr>
          <w:i/>
          <w:iCs/>
        </w:rPr>
        <w:t xml:space="preserve">Compatibility fit</w:t>
      </w:r>
      <w:r>
        <w:t xml:space="preserve"> </w:t>
      </w:r>
      <w:r>
        <w:t xml:space="preserve">tetap menjadi pertanyaan empiris terbuka — apakah kultur startup Gojek yang</w:t>
      </w:r>
      <w:r>
        <w:t xml:space="preserve"> </w:t>
      </w:r>
      <w:r>
        <w:rPr>
          <w:i/>
          <w:iCs/>
        </w:rPr>
        <w:t xml:space="preserve">aggressive growth</w:t>
      </w:r>
      <w:r>
        <w:t xml:space="preserve"> </w:t>
      </w:r>
      <w:r>
        <w:t xml:space="preserve">dapat hidup dengan kultur Tokopedia yang lebih</w:t>
      </w:r>
      <w:r>
        <w:t xml:space="preserve"> </w:t>
      </w:r>
      <w:r>
        <w:rPr>
          <w:i/>
          <w:iCs/>
        </w:rPr>
        <w:t xml:space="preserve">measured</w:t>
      </w:r>
      <w:r>
        <w:t xml:space="preserve">.</w:t>
      </w:r>
      <w:r>
        <w:t xml:space="preserve"> </w:t>
      </w:r>
      <w:r>
        <w:rPr>
          <w:i/>
          <w:iCs/>
        </w:rPr>
        <w:t xml:space="preserve">Commitment fit</w:t>
      </w:r>
      <w:r>
        <w:t xml:space="preserve"> </w:t>
      </w:r>
      <w:r>
        <w:t xml:space="preserve">dan</w:t>
      </w:r>
      <w:r>
        <w:t xml:space="preserve"> </w:t>
      </w:r>
      <w:r>
        <w:rPr>
          <w:i/>
          <w:iCs/>
        </w:rPr>
        <w:t xml:space="preserve">Control fit</w:t>
      </w:r>
      <w:r>
        <w:t xml:space="preserve"> </w:t>
      </w:r>
      <w:r>
        <w:t xml:space="preserve">dieksekusi melalui</w:t>
      </w:r>
      <w:r>
        <w:t xml:space="preserve"> </w:t>
      </w:r>
      <w:r>
        <w:rPr>
          <w:i/>
          <w:iCs/>
        </w:rPr>
        <w:t xml:space="preserve">dual-CEO</w:t>
      </w:r>
      <w:r>
        <w:t xml:space="preserve"> </w:t>
      </w:r>
      <w:r>
        <w:t xml:space="preserve">yang akhirnya berevolusi seiring dinamika pasar. Kasus ini menyediakan laboratorium alami untuk menguji</w:t>
      </w:r>
      <w:r>
        <w:t xml:space="preserve"> </w:t>
      </w:r>
      <w:r>
        <w:rPr>
          <w:i/>
          <w:iCs/>
        </w:rPr>
        <w:t xml:space="preserve">4Cs</w:t>
      </w:r>
      <w:r>
        <w:t xml:space="preserve"> </w:t>
      </w:r>
      <w:r>
        <w:t xml:space="preserve">di sektor digital.</w:t>
      </w:r>
    </w:p>
    <w:p>
      <w:pPr>
        <w:pStyle w:val="BodyText"/>
      </w:pPr>
      <w:r>
        <w:rPr>
          <w:b/>
          <w:bCs/>
        </w:rPr>
        <w:t xml:space="preserve">Keempat, kasus tension yang membedakan SCA dari TBL — industri batu bara Indonesia</w:t>
      </w:r>
      <w:r>
        <w:t xml:space="preserve"> </w:t>
      </w:r>
      <w:r>
        <w:t xml:space="preserve">(Adaro, Bayan, dan pemain besar lainnya) menghadapi</w:t>
      </w:r>
      <w:r>
        <w:t xml:space="preserve"> </w:t>
      </w:r>
      <w:r>
        <w:rPr>
          <w:i/>
          <w:iCs/>
        </w:rPr>
        <w:t xml:space="preserve">misfit</w:t>
      </w:r>
      <w:r>
        <w:t xml:space="preserve"> </w:t>
      </w:r>
      <w:r>
        <w:t xml:space="preserve">struktural dengan</w:t>
      </w:r>
      <w:r>
        <w:t xml:space="preserve"> </w:t>
      </w:r>
      <w:r>
        <w:rPr>
          <w:i/>
          <w:iCs/>
        </w:rPr>
        <w:t xml:space="preserve">global ESG capital flow</w:t>
      </w:r>
      <w:r>
        <w:t xml:space="preserve">. Modal global semakin menghindari sektor batu bara karena pertimbangan</w:t>
      </w:r>
      <w:r>
        <w:t xml:space="preserve"> </w:t>
      </w:r>
      <w:r>
        <w:rPr>
          <w:i/>
          <w:iCs/>
        </w:rPr>
        <w:t xml:space="preserve">climate risk</w:t>
      </w:r>
      <w:r>
        <w:t xml:space="preserve">; perusahaan batu bara Indonesia tetap menguntungkan dalam jangka pendek tetapi menghadapi penurunan akses</w:t>
      </w:r>
      <w:r>
        <w:t xml:space="preserve"> </w:t>
      </w:r>
      <w:r>
        <w:rPr>
          <w:i/>
          <w:iCs/>
        </w:rPr>
        <w:t xml:space="preserve">funding</w:t>
      </w:r>
      <w:r>
        <w:t xml:space="preserve"> </w:t>
      </w:r>
      <w:r>
        <w:t xml:space="preserve">jangka panjang.</w:t>
      </w:r>
      <w:r>
        <w:t xml:space="preserve"> </w:t>
      </w:r>
      <w:r>
        <w:rPr>
          <w:b/>
          <w:bCs/>
        </w:rPr>
        <w:t xml:space="preserve">Inilah kasus di mana</w:t>
      </w:r>
      <w:r>
        <w:rPr>
          <w:b/>
          <w:bCs/>
        </w:rPr>
        <w:t xml:space="preserve"> </w:t>
      </w:r>
      <w:r>
        <w:rPr>
          <w:b/>
          <w:bCs/>
          <w:i/>
          <w:iCs/>
        </w:rPr>
        <w:t xml:space="preserve">sustainability sebenarnya</w:t>
      </w:r>
      <w:r>
        <w:rPr>
          <w:b/>
          <w:bCs/>
        </w:rPr>
        <w:t xml:space="preserve"> </w:t>
      </w:r>
      <w:r>
        <w:rPr>
          <w:b/>
          <w:bCs/>
        </w:rPr>
        <w:t xml:space="preserve">— dalam pengertian Elkington (1997) TBL yang absen dari artikel Okebaram dan Onuoha — secara substantif relevan</w:t>
      </w:r>
      <w:r>
        <w:t xml:space="preserve">, bukan sekadar</w:t>
      </w:r>
      <w:r>
        <w:t xml:space="preserve"> </w:t>
      </w:r>
      <w:r>
        <w:rPr>
          <w:i/>
          <w:iCs/>
        </w:rPr>
        <w:t xml:space="preserve">sustained competitive advantage</w:t>
      </w:r>
      <w:r>
        <w:t xml:space="preserve"> </w:t>
      </w:r>
      <w:r>
        <w:t xml:space="preserve">dalam pengertian Porter. Bila kerangka penulis benar-benar membahas</w:t>
      </w:r>
      <w:r>
        <w:t xml:space="preserve"> </w:t>
      </w:r>
      <w:r>
        <w:rPr>
          <w:i/>
          <w:iCs/>
        </w:rPr>
        <w:t xml:space="preserve">sustainability</w:t>
      </w:r>
      <w:r>
        <w:t xml:space="preserve"> </w:t>
      </w:r>
      <w:r>
        <w:t xml:space="preserve">dalam pengertian TBL, kasus Adaro/Bayan akan menjadi inti diskusi: bagaimana strategic fit perlu dievaluasi tidak hanya terhadap</w:t>
      </w:r>
      <w:r>
        <w:t xml:space="preserve"> </w:t>
      </w:r>
      <w:r>
        <w:rPr>
          <w:i/>
          <w:iCs/>
        </w:rPr>
        <w:t xml:space="preserve">competitive advantage</w:t>
      </w:r>
      <w:r>
        <w:t xml:space="preserve"> </w:t>
      </w:r>
      <w:r>
        <w:t xml:space="preserve">tetapi juga terhadap</w:t>
      </w:r>
      <w:r>
        <w:t xml:space="preserve"> </w:t>
      </w:r>
      <w:r>
        <w:rPr>
          <w:i/>
          <w:iCs/>
        </w:rPr>
        <w:t xml:space="preserve">long-run environmental-social-economic viability</w:t>
      </w:r>
      <w:r>
        <w:t xml:space="preserve">. Konflasi yang dilakukan artikel membuat kerangkanya tidak dapat menjawab pertanyaan Adaro/Bayan secara substantif — sebuah ilustrasi konkret mengapa konflasi terminologis pada §6 dan §7 berbahaya secara analitis.</w:t>
      </w:r>
    </w:p>
    <w:bookmarkEnd w:id="65"/>
    <w:bookmarkEnd w:id="66"/>
    <w:bookmarkStart w:id="69" w:name="X9715f5477454b0f18f77c34a9fa9ac7a18408da"/>
    <w:p>
      <w:pPr>
        <w:pStyle w:val="Heading2"/>
      </w:pPr>
      <w:r>
        <w:t xml:space="preserve">§9 Isu untuk Didebatkan dan Didiskusikan Lebih Lanjut</w:t>
      </w:r>
    </w:p>
    <w:bookmarkStart w:id="67" w:name="pertanyaan-terbuka"/>
    <w:p>
      <w:pPr>
        <w:pStyle w:val="Heading3"/>
      </w:pPr>
      <w:r>
        <w:t xml:space="preserve">Pertanyaan Terbuka</w:t>
      </w:r>
    </w:p>
    <w:p>
      <w:pPr>
        <w:pStyle w:val="FirstParagraph"/>
      </w:pPr>
      <w:r>
        <w:t xml:space="preserve">Beberapa pertanyaan tetap terbuka untuk diskusi kelas dan agenda penelitian.</w:t>
      </w:r>
      <w:r>
        <w:t xml:space="preserve"> </w:t>
      </w:r>
      <w:r>
        <w:rPr>
          <w:b/>
          <w:bCs/>
        </w:rPr>
        <w:t xml:space="preserve">Pertama</w:t>
      </w:r>
      <w:r>
        <w:t xml:space="preserve">, bila kita memisahkan</w:t>
      </w:r>
      <w:r>
        <w:t xml:space="preserve"> </w:t>
      </w:r>
      <w:r>
        <w:rPr>
          <w:i/>
          <w:iCs/>
        </w:rPr>
        <w:t xml:space="preserve">sustainability</w:t>
      </w:r>
      <w:r>
        <w:t xml:space="preserve"> </w:t>
      </w:r>
      <w:r>
        <w:t xml:space="preserve">dalam pengertian</w:t>
      </w:r>
      <w:r>
        <w:t xml:space="preserve"> </w:t>
      </w:r>
      <w:r>
        <w:rPr>
          <w:i/>
          <w:iCs/>
        </w:rPr>
        <w:t xml:space="preserve">triple bottom line</w:t>
      </w:r>
      <w:r>
        <w:t xml:space="preserve"> </w:t>
      </w:r>
      <w:r>
        <w:t xml:space="preserve">(Elkington 1997 — sekali lagi,</w:t>
      </w:r>
      <w:r>
        <w:t xml:space="preserve"> </w:t>
      </w:r>
      <w:r>
        <w:rPr>
          <w:i/>
          <w:iCs/>
        </w:rPr>
        <w:t xml:space="preserve">external reference</w:t>
      </w:r>
      <w:r>
        <w:t xml:space="preserve"> </w:t>
      </w:r>
      <w:r>
        <w:t xml:space="preserve">yang absen dari artikel) dari</w:t>
      </w:r>
      <w:r>
        <w:t xml:space="preserve"> </w:t>
      </w:r>
      <w:r>
        <w:rPr>
          <w:i/>
          <w:iCs/>
        </w:rPr>
        <w:t xml:space="preserve">sustained competitive advantage</w:t>
      </w:r>
      <w:r>
        <w:t xml:space="preserve"> </w:t>
      </w:r>
      <w:r>
        <w:t xml:space="preserve">(Porter 1985 — dirujuk artikel), bagaimana kedua konsep berinteraksi dalam praktik korporat kontemporer? Mungkinkah perusahaan mencapai SCA</w:t>
      </w:r>
      <w:r>
        <w:t xml:space="preserve"> </w:t>
      </w:r>
      <w:r>
        <w:rPr>
          <w:i/>
          <w:iCs/>
        </w:rPr>
        <w:t xml:space="preserve">tanpa</w:t>
      </w:r>
      <w:r>
        <w:t xml:space="preserve"> </w:t>
      </w:r>
      <w:r>
        <w:t xml:space="preserve">TBL sustainability — yaitu mempertahankan keunggulan kompetitif sambil merusak lingkungan dan komunitas? Atau apakah ke depan SCA akan semakin bergantung pada TBL sustainability karena tekanan stakeholder yang meningkat?</w:t>
      </w:r>
      <w:r>
        <w:t xml:space="preserve"> </w:t>
      </w:r>
      <w:r>
        <w:rPr>
          <w:b/>
          <w:bCs/>
        </w:rPr>
        <w:t xml:space="preserve">Kedua</w:t>
      </w:r>
      <w:r>
        <w:t xml:space="preserve">, dapatkah</w:t>
      </w:r>
      <w:r>
        <w:t xml:space="preserve"> </w:t>
      </w:r>
      <w:r>
        <w:rPr>
          <w:i/>
          <w:iCs/>
        </w:rPr>
        <w:t xml:space="preserve">4Cs</w:t>
      </w:r>
      <w:r>
        <w:t xml:space="preserve"> </w:t>
      </w:r>
      <w:r>
        <w:t xml:space="preserve">Medcof (1997) dioperasionalisasi dengan konstruk yang divalidasi melalui</w:t>
      </w:r>
      <w:r>
        <w:t xml:space="preserve"> </w:t>
      </w:r>
      <w:r>
        <w:rPr>
          <w:i/>
          <w:iCs/>
        </w:rPr>
        <w:t xml:space="preserve">Confirmatory Factor Analysis</w:t>
      </w:r>
      <w:r>
        <w:t xml:space="preserve"> </w:t>
      </w:r>
      <w:r>
        <w:t xml:space="preserve">dan</w:t>
      </w:r>
      <w:r>
        <w:t xml:space="preserve"> </w:t>
      </w:r>
      <w:r>
        <w:rPr>
          <w:i/>
          <w:iCs/>
        </w:rPr>
        <w:t xml:space="preserve">Structural Equation Modeling</w:t>
      </w:r>
      <w:r>
        <w:t xml:space="preserve">, atau apakah konsep ini terlalu lentur — terlalu</w:t>
      </w:r>
      <w:r>
        <w:t xml:space="preserve"> </w:t>
      </w:r>
      <w:r>
        <w:rPr>
          <w:i/>
          <w:iCs/>
        </w:rPr>
        <w:t xml:space="preserve">family-resemblance</w:t>
      </w:r>
      <w:r>
        <w:t xml:space="preserve"> </w:t>
      </w:r>
      <w:r>
        <w:t xml:space="preserve">dalam istilah Wittgenstein — untuk pengukuran formal? Bila terlalu lentur,</w:t>
      </w:r>
      <w:r>
        <w:t xml:space="preserve"> </w:t>
      </w:r>
      <w:r>
        <w:rPr>
          <w:i/>
          <w:iCs/>
        </w:rPr>
        <w:t xml:space="preserve">4Cs</w:t>
      </w:r>
      <w:r>
        <w:t xml:space="preserve"> </w:t>
      </w:r>
      <w:r>
        <w:t xml:space="preserve">tetap berguna sebagai</w:t>
      </w:r>
      <w:r>
        <w:t xml:space="preserve"> </w:t>
      </w:r>
      <w:r>
        <w:rPr>
          <w:i/>
          <w:iCs/>
        </w:rPr>
        <w:t xml:space="preserve">heuristic</w:t>
      </w:r>
      <w:r>
        <w:t xml:space="preserve"> </w:t>
      </w:r>
      <w:r>
        <w:t xml:space="preserve">tetapi tidak dapat menjadi</w:t>
      </w:r>
      <w:r>
        <w:t xml:space="preserve"> </w:t>
      </w:r>
      <w:r>
        <w:rPr>
          <w:i/>
          <w:iCs/>
        </w:rPr>
        <w:t xml:space="preserve">predictive theory</w:t>
      </w:r>
      <w:r>
        <w:t xml:space="preserve">.</w:t>
      </w:r>
      <w:r>
        <w:t xml:space="preserve"> </w:t>
      </w:r>
      <w:r>
        <w:rPr>
          <w:b/>
          <w:bCs/>
        </w:rPr>
        <w:t xml:space="preserve">Ketiga</w:t>
      </w:r>
      <w:r>
        <w:t xml:space="preserve">, bagaimana</w:t>
      </w:r>
      <w:r>
        <w:t xml:space="preserve"> </w:t>
      </w:r>
      <w:r>
        <w:rPr>
          <w:i/>
          <w:iCs/>
        </w:rPr>
        <w:t xml:space="preserve">institutional voids</w:t>
      </w:r>
      <w:r>
        <w:t xml:space="preserve"> </w:t>
      </w:r>
      <w:r>
        <w:t xml:space="preserve">— konsep yang dikembangkan Khanna dan Palepu (2000 — referensi yang</w:t>
      </w:r>
      <w:r>
        <w:t xml:space="preserve"> </w:t>
      </w:r>
      <w:r>
        <w:rPr>
          <w:b/>
          <w:bCs/>
        </w:rPr>
        <w:t xml:space="preserve">tidak dirujuk artikel</w:t>
      </w:r>
      <w:r>
        <w:t xml:space="preserve"> </w:t>
      </w:r>
      <w:r>
        <w:t xml:space="preserve">dan dengan demikian merupakan</w:t>
      </w:r>
      <w:r>
        <w:t xml:space="preserve"> </w:t>
      </w:r>
      <w:r>
        <w:rPr>
          <w:i/>
          <w:iCs/>
        </w:rPr>
        <w:t xml:space="preserve">external critical reference</w:t>
      </w:r>
      <w:r>
        <w:t xml:space="preserve"> </w:t>
      </w:r>
      <w:r>
        <w:t xml:space="preserve">yang saya tambahkan — yaitu pasar modal yang dangkal, regulasi yang fragmented, kontrak yang sulit ditegakkan — mempengaruhi</w:t>
      </w:r>
      <w:r>
        <w:t xml:space="preserve"> </w:t>
      </w:r>
      <w:r>
        <w:rPr>
          <w:i/>
          <w:iCs/>
        </w:rPr>
        <w:t xml:space="preserve">4Cs assessment</w:t>
      </w:r>
      <w:r>
        <w:t xml:space="preserve"> </w:t>
      </w:r>
      <w:r>
        <w:t xml:space="preserve">dalam konteks M&amp;A Indonesia?</w:t>
      </w:r>
      <w:r>
        <w:t xml:space="preserve"> </w:t>
      </w:r>
      <w:r>
        <w:rPr>
          <w:i/>
          <w:iCs/>
        </w:rPr>
        <w:t xml:space="preserve">Compatibility fit</w:t>
      </w:r>
      <w:r>
        <w:t xml:space="preserve"> </w:t>
      </w:r>
      <w:r>
        <w:t xml:space="preserve">dan</w:t>
      </w:r>
      <w:r>
        <w:t xml:space="preserve"> </w:t>
      </w:r>
      <w:r>
        <w:rPr>
          <w:i/>
          <w:iCs/>
        </w:rPr>
        <w:t xml:space="preserve">Control fit</w:t>
      </w:r>
      <w:r>
        <w:t xml:space="preserve"> </w:t>
      </w:r>
      <w:r>
        <w:t xml:space="preserve">mungkin perlu didefinisikan ulang ketika</w:t>
      </w:r>
      <w:r>
        <w:t xml:space="preserve"> </w:t>
      </w:r>
      <w:r>
        <w:rPr>
          <w:i/>
          <w:iCs/>
        </w:rPr>
        <w:t xml:space="preserve">legal infrastructure</w:t>
      </w:r>
      <w:r>
        <w:t xml:space="preserve"> </w:t>
      </w:r>
      <w:r>
        <w:t xml:space="preserve">tidak menyediakan</w:t>
      </w:r>
      <w:r>
        <w:t xml:space="preserve"> </w:t>
      </w:r>
      <w:r>
        <w:rPr>
          <w:i/>
          <w:iCs/>
        </w:rPr>
        <w:t xml:space="preserve">enforceability</w:t>
      </w:r>
      <w:r>
        <w:t xml:space="preserve"> </w:t>
      </w:r>
      <w:r>
        <w:t xml:space="preserve">yang setara dengan konteks negara maju.</w:t>
      </w:r>
    </w:p>
    <w:bookmarkEnd w:id="67"/>
    <w:bookmarkStart w:id="68" w:name="relevansi-untuk-riset-indonesia"/>
    <w:p>
      <w:pPr>
        <w:pStyle w:val="Heading3"/>
      </w:pPr>
      <w:r>
        <w:t xml:space="preserve">Relevansi untuk Riset Indonesia</w:t>
      </w:r>
    </w:p>
    <w:p>
      <w:pPr>
        <w:pStyle w:val="FirstParagraph"/>
      </w:pPr>
      <w:r>
        <w:t xml:space="preserve">Agenda riset Indonesia yang dapat dibangun di atas — dan melampaui — artikel Okebaram dan Onuoha mencakup beberapa arah.</w:t>
      </w:r>
      <w:r>
        <w:t xml:space="preserve"> </w:t>
      </w:r>
      <w:r>
        <w:rPr>
          <w:b/>
          <w:bCs/>
        </w:rPr>
        <w:t xml:space="preserve">Pertama</w:t>
      </w:r>
      <w:r>
        <w:t xml:space="preserve">,</w:t>
      </w:r>
      <w:r>
        <w:t xml:space="preserve"> </w:t>
      </w:r>
      <w:r>
        <w:rPr>
          <w:i/>
          <w:iCs/>
        </w:rPr>
        <w:t xml:space="preserve">microfoundation research</w:t>
      </w:r>
      <w:r>
        <w:t xml:space="preserve">: apakah</w:t>
      </w:r>
      <w:r>
        <w:t xml:space="preserve"> </w:t>
      </w:r>
      <w:r>
        <w:rPr>
          <w:i/>
          <w:iCs/>
        </w:rPr>
        <w:t xml:space="preserve">board diversity</w:t>
      </w:r>
      <w:r>
        <w:t xml:space="preserve"> </w:t>
      </w:r>
      <w:r>
        <w:t xml:space="preserve">(komposisi gender, latar belakang profesional, independensi),</w:t>
      </w:r>
      <w:r>
        <w:t xml:space="preserve"> </w:t>
      </w:r>
      <w:r>
        <w:rPr>
          <w:i/>
          <w:iCs/>
        </w:rPr>
        <w:t xml:space="preserve">ESG-linked compensation</w:t>
      </w:r>
      <w:r>
        <w:t xml:space="preserve"> </w:t>
      </w:r>
      <w:r>
        <w:t xml:space="preserve">(kompensasi eksekutif yang terkait dengan target keberlanjutan), dan</w:t>
      </w:r>
      <w:r>
        <w:t xml:space="preserve"> </w:t>
      </w:r>
      <w:r>
        <w:rPr>
          <w:i/>
          <w:iCs/>
        </w:rPr>
        <w:t xml:space="preserve">stakeholder engagement structures</w:t>
      </w:r>
      <w:r>
        <w:t xml:space="preserve"> </w:t>
      </w:r>
      <w:r>
        <w:t xml:space="preserve">(mekanisme konsultasi formal dengan komunitas, pekerja, lingkungan) cukup untuk menghasilkan</w:t>
      </w:r>
      <w:r>
        <w:t xml:space="preserve"> </w:t>
      </w:r>
      <w:r>
        <w:rPr>
          <w:i/>
          <w:iCs/>
        </w:rPr>
        <w:t xml:space="preserve">substantive sustainability fit</w:t>
      </w:r>
      <w:r>
        <w:t xml:space="preserve"> </w:t>
      </w:r>
      <w:r>
        <w:t xml:space="preserve">— atau apakah praktik-praktik ini hanya menjadi</w:t>
      </w:r>
      <w:r>
        <w:t xml:space="preserve"> </w:t>
      </w:r>
      <w:r>
        <w:rPr>
          <w:i/>
          <w:iCs/>
        </w:rPr>
        <w:t xml:space="preserve">symbolic compliance</w:t>
      </w:r>
      <w:r>
        <w:t xml:space="preserve"> </w:t>
      </w:r>
      <w:r>
        <w:t xml:space="preserve">yang tidak mengubah perilaku korporat? Riset</w:t>
      </w:r>
      <w:r>
        <w:t xml:space="preserve"> </w:t>
      </w:r>
      <w:r>
        <w:rPr>
          <w:i/>
          <w:iCs/>
        </w:rPr>
        <w:t xml:space="preserve">qualitative comparative analysis</w:t>
      </w:r>
      <w:r>
        <w:t xml:space="preserve"> </w:t>
      </w:r>
      <w:r>
        <w:t xml:space="preserve">pada perusahaan publik Indonesia dapat mengisi celah ini.</w:t>
      </w:r>
      <w:r>
        <w:t xml:space="preserve"> </w:t>
      </w:r>
      <w:r>
        <w:rPr>
          <w:b/>
          <w:bCs/>
        </w:rPr>
        <w:t xml:space="preserve">Kedua</w:t>
      </w:r>
      <w:r>
        <w:t xml:space="preserve">,</w:t>
      </w:r>
      <w:r>
        <w:t xml:space="preserve"> </w:t>
      </w:r>
      <w:r>
        <w:rPr>
          <w:i/>
          <w:iCs/>
        </w:rPr>
        <w:t xml:space="preserve">post-IPO integration research</w:t>
      </w:r>
      <w:r>
        <w:t xml:space="preserve">: bagaimana</w:t>
      </w:r>
      <w:r>
        <w:t xml:space="preserve"> </w:t>
      </w:r>
      <w:r>
        <w:rPr>
          <w:i/>
          <w:iCs/>
        </w:rPr>
        <w:t xml:space="preserve">4Cs</w:t>
      </w:r>
      <w:r>
        <w:t xml:space="preserve"> </w:t>
      </w:r>
      <w:r>
        <w:t xml:space="preserve">berubah ketika perusahaan privat menjadi publik dan harus mengakomodasi</w:t>
      </w:r>
      <w:r>
        <w:t xml:space="preserve"> </w:t>
      </w:r>
      <w:r>
        <w:rPr>
          <w:i/>
          <w:iCs/>
        </w:rPr>
        <w:t xml:space="preserve">minority shareholder</w:t>
      </w:r>
      <w:r>
        <w:t xml:space="preserve"> </w:t>
      </w:r>
      <w:r>
        <w:t xml:space="preserve">— sebuah pertanyaan yang relevan untuk gelombang IPO startup Indonesia.</w:t>
      </w:r>
      <w:r>
        <w:t xml:space="preserve"> </w:t>
      </w:r>
      <w:r>
        <w:rPr>
          <w:b/>
          <w:bCs/>
        </w:rPr>
        <w:t xml:space="preserve">Ketiga</w:t>
      </w:r>
      <w:r>
        <w:t xml:space="preserve">,</w:t>
      </w:r>
      <w:r>
        <w:t xml:space="preserve"> </w:t>
      </w:r>
      <w:r>
        <w:rPr>
          <w:i/>
          <w:iCs/>
        </w:rPr>
        <w:t xml:space="preserve">sustainability transition research</w:t>
      </w:r>
      <w:r>
        <w:t xml:space="preserve"> </w:t>
      </w:r>
      <w:r>
        <w:t xml:space="preserve">pada sektor batu bara, kelapa sawit, dan tambang lain yang menghadapi tekanan ESG global — bagaimana</w:t>
      </w:r>
      <w:r>
        <w:t xml:space="preserve"> </w:t>
      </w:r>
      <w:r>
        <w:rPr>
          <w:i/>
          <w:iCs/>
        </w:rPr>
        <w:t xml:space="preserve">strategic fit</w:t>
      </w:r>
      <w:r>
        <w:t xml:space="preserve"> </w:t>
      </w:r>
      <w:r>
        <w:t xml:space="preserve">berubah ketika</w:t>
      </w:r>
      <w:r>
        <w:t xml:space="preserve"> </w:t>
      </w:r>
      <w:r>
        <w:rPr>
          <w:i/>
          <w:iCs/>
        </w:rPr>
        <w:t xml:space="preserve">long-run viability</w:t>
      </w:r>
      <w:r>
        <w:t xml:space="preserve"> </w:t>
      </w:r>
      <w:r>
        <w:t xml:space="preserve">memerlukan transformasi model bisnis. Magister Akuntansi memiliki posisi unik untuk mengangkat agenda riset ini karena perspektif akuntansi memberikan akses ke</w:t>
      </w:r>
      <w:r>
        <w:t xml:space="preserve"> </w:t>
      </w:r>
      <w:r>
        <w:rPr>
          <w:i/>
          <w:iCs/>
        </w:rPr>
        <w:t xml:space="preserve">non-financial disclosure</w:t>
      </w:r>
      <w:r>
        <w:t xml:space="preserve">,</w:t>
      </w:r>
      <w:r>
        <w:t xml:space="preserve"> </w:t>
      </w:r>
      <w:r>
        <w:rPr>
          <w:i/>
          <w:iCs/>
        </w:rPr>
        <w:t xml:space="preserve">integrated reporting</w:t>
      </w:r>
      <w:r>
        <w:t xml:space="preserve">, dan</w:t>
      </w:r>
      <w:r>
        <w:t xml:space="preserve"> </w:t>
      </w:r>
      <w:r>
        <w:rPr>
          <w:i/>
          <w:iCs/>
        </w:rPr>
        <w:t xml:space="preserve">materiality assessment</w:t>
      </w:r>
      <w:r>
        <w:t xml:space="preserve"> </w:t>
      </w:r>
      <w:r>
        <w:t xml:space="preserve">yang menjadi</w:t>
      </w:r>
      <w:r>
        <w:t xml:space="preserve"> </w:t>
      </w:r>
      <w:r>
        <w:rPr>
          <w:i/>
          <w:iCs/>
        </w:rPr>
        <w:t xml:space="preserve">infrastructure</w:t>
      </w:r>
      <w:r>
        <w:t xml:space="preserve"> </w:t>
      </w:r>
      <w:r>
        <w:t xml:space="preserve">bagi diskusi sustainability serius — sebuah perspektif yang Okebaram dan Onuoha (2018), sayangnya, tidak miliki.</w:t>
      </w:r>
    </w:p>
    <w:bookmarkEnd w:id="68"/>
    <w:bookmarkEnd w:id="69"/>
    <w:bookmarkEnd w:id="70"/>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2026-05-19T12:54:26Z</dcterms:created>
  <dcterms:modified xsi:type="dcterms:W3CDTF">2026-05-19T12:54:26Z</dcterms:modified>
</cp:coreProperties>
</file>

<file path=docProps/custom.xml><?xml version="1.0" encoding="utf-8"?>
<Properties xmlns="http://schemas.openxmlformats.org/officeDocument/2006/custom-properties" xmlns:vt="http://schemas.openxmlformats.org/officeDocument/2006/docPropsVTypes"/>
</file>