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CRITICAL REVIEW — ARTIKEL 8</w:t>
      </w:r>
    </w:p>
    <w:p>
      <w:pPr/>
      <w:r>
        <w:t>Mata Kuliah: MST304 — Manajemen Strategik Kontemporer</w:t>
      </w:r>
    </w:p>
    <w:p>
      <w:pPr>
        <w:pStyle w:val="BodyText"/>
      </w:pPr>
      <w:r>
        <w:t>Mahasiswa: Dzaki Muhammad Yusfian</w:t>
      </w:r>
    </w:p>
    <w:p>
      <w:pPr>
        <w:pStyle w:val="BodyText"/>
      </w:pPr>
      <w:r>
        <w:t>NIM: 1125 01079</w:t>
      </w:r>
    </w:p>
    <w:p>
      <w:pPr>
        <w:pStyle w:val="Heading2"/>
      </w:pPr>
      <w:r>
        <w:t>1. Identitas Artikel</w:t>
      </w:r>
    </w:p>
    <w:p>
      <w:pPr/>
      <w:r>
        <w:t>Judul: Competitor Analysis in Strategic Management: Is It a Worthwhile Managerial Practice in Contemporary Times?</w:t>
      </w:r>
    </w:p>
    <w:p>
      <w:pPr>
        <w:pStyle w:val="BodyText"/>
      </w:pPr>
      <w:r>
        <w:t>Penulis: Alex Yaw Adom, Israel Kofi Nyarko, Gladys Narki Kumi Som (Department of Management &amp; Public Administration, Central University, Accra, Ghana)</w:t>
      </w:r>
    </w:p>
    <w:p>
      <w:pPr>
        <w:pStyle w:val="BodyText"/>
      </w:pPr>
      <w:r>
        <w:t>Publikasi: Journal of Resources Development and Management, Vol. 24 (2016), hlm. 116</w:t>
      </w:r>
    </w:p>
    <w:p>
      <w:pPr>
        <w:pStyle w:val="BodyText"/>
      </w:pPr>
      <w:r>
        <w:t>Tipe Penelitian: Tinjauan literatur integratif (integrative literature review) dengan elemen interpretasi pribadi penulis berdasarkan konteks praktik di Afrika</w:t>
      </w:r>
    </w:p>
    <w:p>
      <w:pPr>
        <w:pStyle w:val="BodyText"/>
      </w:pPr>
      <w:r>
        <w:t>Artikel ini termasuk kategori general review yang berfungsi sebagai sintesis pedagogis bagi praktisi maupun mahasiswa, bukan kontribusi teoretis baru. Diterbitkan pada jurnal yang relatif kurang dikenal secara akademis (Journal of Resources Development and Management tidak terindeks di Scopus atau Web of Science), sehingga jangkauan dan dampak akademisnya juga terbatas.</w:t>
      </w:r>
    </w:p>
    <w:p>
      <w:pPr>
        <w:pStyle w:val="Heading2"/>
      </w:pPr>
      <w:r>
        <w:t>2. Tujuan Penelitian dan Posisi dalam Literatur</w:t>
      </w:r>
    </w:p>
    <w:p>
      <w:pPr/>
      <w:r>
        <w:t>Adom, Nyarko, dan Som (2016) merumuskan tujuan artikel mereka secara eksplisit pada bagian abstrak: "to establish the relevance or otherwise of competitor analysis as a strategic management practice in modern business competition." Pertanyaan inti yang diajukan adalah apakah analisis pesaing tetap menjadi praktik manajerial yang worthwhile di era kontemporer yang ditandai dengan banjir informasi dan kemajuan teknologi big data. Kalau dibaca harfiah, pertanyaan ini hampir bersifat retoris: tidak ada literatur serius yang berargumen bahwa analisis pesaing tidak relevan. Karena itu, framing "is it worthwhile" sebenarnya agak straw man, dan ini akan saya kupas pada Bagian 7.</w:t>
      </w:r>
    </w:p>
    <w:p>
      <w:pPr>
        <w:pStyle w:val="BodyText"/>
      </w:pPr>
      <w:r>
        <w:t>Posisi Adom et al. dalam literatur adalah sebagai sintesis ulang dari tradisi competitor analysis yang sudah cukup panjang. Mereka membangun argumen di atas tiga lapisan literatur. Lapisan pertama adalah Porter (1980) Bab 3 yang menawarkan kerangka empat sel klasik untuk analisis pesaing (future goals, current strategy, assumptions, capabilities). Adom et al. tidak menyebut empat sel ini secara eksplisit, tetapi struktur diskusi mereka mengikuti logikanya. Lapisan kedua adalah literatur competitive intelligence yang dikembangkan oleh Fleisher dan Bensoussan (2003, 2007) yang menjadi rujukan utama mereka. Lapisan ketiga adalah literatur praktis seperti Kotler dan Armstrong (2009), Hoque (2006), serta David (2011) yang menjadi sumber tipologi pesaing dan teknik praktis yang mereka rangkum.</w:t>
      </w:r>
    </w:p>
    <w:p>
      <w:pPr>
        <w:pStyle w:val="BodyText"/>
      </w:pPr>
      <w:r>
        <w:t>Konteks geografis penulis (Ghana, Afrika Sub-Sahara) memberi warna pada artikel meskipun tidak secara eksplisit dieksplorasi. Asumsi-asumsi yang implisit dalam diskusi mereka mencerminkan konteks pasar yang berbeda dari Eropa atau Amerika Utara. Akses informasi tentang pesaing di Ghana cenderung lebih terbatas, dan ini menjelaskan kenapa Adom et al. (2016, hlm. 117) sangat menekankan tantangan pengumpulan data, padahal di pasar dengan disclosure yang ketat masalah itu kurang relevan. Selain itu, ukuran pasar yang relatif kecil di Ghana menjadikan analisis pesaing terkonsentrasi pada beberapa pemain dominan, berbeda dari pasar besar dengan banyak pemain yang fragmented. Ketidakseimbangan kontekstual ini perlu menjadi pertimbangan ketika klaim-klaim umum mereka diaplikasikan pada konteks Indonesia atau Asia Tenggara yang lebih luas.</w:t>
      </w:r>
    </w:p>
    <w:p>
      <w:pPr>
        <w:pStyle w:val="Heading2"/>
      </w:pPr>
      <w:r>
        <w:t>3. Argumen Utama: Worthwhile dengan Pergeseran Peran</w:t>
      </w:r>
    </w:p>
    <w:p>
      <w:pPr/>
      <w:r>
        <w:t>Argumen sentral Adom et al. adalah bahwa analisis pesaing tetap worthwhile sebagai praktik manajerial kontemporer, tetapi dengan pergeseran peran yang substantif. Mereka menyusun argumen tersebut dalam empat dimensi yang dapat direkonstruksi sebagai berikut.</w:t>
      </w:r>
    </w:p>
    <w:p>
      <w:pPr>
        <w:pStyle w:val="Heading3"/>
      </w:pPr>
      <w:r>
        <w:t>3.1 Pergeseran dari Akuisisi Informasi ke Sense-Making</w:t>
      </w:r>
    </w:p>
    <w:p>
      <w:pPr/>
      <w:r>
        <w:t>Argumen pertama (Adom et al. 2016, hlm. 117–118) adalah bahwa pada era pra-internet, tantangan utama analisis pesaing adalah memperoleh informasi yang sulit, mahal, dan sering tidak lengkap. Pada era kontemporer, informasi tentang pesaing tersedia berlimpah lewat laporan tahunan, disclosure publik, pemberitaan media, social media, riset industri komersial, dan bahkan big data analytics. Yang berubah adalah tantangannya. Sekarang yang sulit bukan lagi mendapatkan data, melainkan sense-making: bagaimana memaknai informasi yang melimpah, memilih mana yang relevan, dan membangun narasi koheren tentang strategi pesaing dari potongan-potongan data.</w:t>
      </w:r>
    </w:p>
    <w:p>
      <w:pPr>
        <w:pStyle w:val="BodyText"/>
      </w:pPr>
      <w:r>
        <w:t>Argumen ini secara substantif benar dan sejalan dengan perkembangan praktik competitive intelligence yang Fleisher dan Bensoussan (2007) dokumentasikan. Yang tidak dikembangkan oleh Adom et al. adalah implikasi epistemologisnya. Pergeseran dari akuisisi ke sense-making mengubah profil keterampilan yang dibutuhkan dalam organisasi: dari kapabilitas pengumpulan data (yang dulu pekerjaan analis junior) menuju kapabilitas interpretasi pola dan prediksi respons (yang menuntut analis senior dengan latar belakang industri yang dalam). Implikasi ini tidak diangkat secara eksplisit, padahal sangat relevan untuk diskusi tentang struktur tim competitor intelligence di organisasi modern.</w:t>
      </w:r>
    </w:p>
    <w:p>
      <w:pPr>
        <w:pStyle w:val="Heading3"/>
      </w:pPr>
      <w:r>
        <w:t>3.2 Pergeseran dari Ad-Hoc ke Sistematis</w:t>
      </w:r>
    </w:p>
    <w:p>
      <w:pPr/>
      <w:r>
        <w:t>Argumen kedua (Adom et al. 2016, hlm. 117) adalah bahwa banyak perusahaan masih menjalankan analisis pesaing secara ad-hoc, yaitu hanya pada saat ada isu atau proyek spesifik. Adom et al. mengadvokasi pendekatan yang lebih sistematis: proses yang ditentukan, frekuensi yang ditentukan, dan ownership yang jelas. Argumen ini sejalan dengan tradisi profesionalisasi competitive intelligence yang dikembangkan oleh Strategic and Competitive Intelligence Professionals (SCIP) sejak akhir 1980-an. Pendekatan sistematis menghasilkan intelligence yang konsisten, dapat diaudit, dan terintegrasi dengan proses pengambilan keputusan strategis.</w:t>
      </w:r>
    </w:p>
    <w:p>
      <w:pPr>
        <w:pStyle w:val="BodyText"/>
      </w:pPr>
      <w:r>
        <w:t>Pengembangan argumen ini, sayangnya, terbatas. Adom et al. tidak melibatkan literatur SCIP secara substansial. Mereka tidak membahas Code of Ethics SCIP yang sudah lama menjadi rujukan profesi competitive intelligence. Mereka juga tidak membahas 24 techniques of competitor intelligence yang Fleisher dan Bensoussan (2007) sajikan sebagai toolkit yang lengkap. Akibatnya, advokasi mereka untuk pendekatan sistematis kekurangan substansi operasional. Bagaimana sistem yang sistematis itu sebenarnya dirancang dan dijalankan, tetap menjadi pertanyaan yang menggantung.</w:t>
      </w:r>
    </w:p>
    <w:p>
      <w:pPr>
        <w:pStyle w:val="Heading3"/>
      </w:pPr>
      <w:r>
        <w:t>3.3 Pergeseran dari Deskriptif ke Prediktif</w:t>
      </w:r>
    </w:p>
    <w:p>
      <w:pPr/>
      <w:r>
        <w:t>Argumen ketiga (Adom et al. 2016, hlm. 119–120) adalah bahwa analisis pesaing kontemporer harus bergerak dari deskripsi (apa yang pesaing lakukan sekarang) ke prediksi (apa yang pesaing akan lakukan berikutnya, dan bagaimana mereka akan merespons pilihan strategis kita). Argumen ini sejalan dengan penekanan Porter (1980) Bab 3 pada kemampuan memprediksi competitive response. Adom et al. mengutip kerangka empat sel Porter secara implisit ketika membahas pentingnya memahami "competitor's existing strategies and objectives" (sel current strategy dan future goals), "competitor's major strengths and weaknesses" (sel capabilities), dan "predicting competitor's future moves" (sel assumptions dalam terminologi Porter).</w:t>
      </w:r>
    </w:p>
    <w:p>
      <w:pPr>
        <w:pStyle w:val="BodyText"/>
      </w:pPr>
      <w:r>
        <w:t>Yang absen dari diskusi adalah pengakuan eksplisit bahwa sel assumptions, sel yang paling sulit dipenuhi tetapi paling bernilai, adalah sel yang paling membuka response prediction. Memprediksi respons pesaing menuntut pemahaman tentang bagaimana pesaing memahami industri dan dirinya sendiri. Tanpa pemetaan asumsi pesaing, prediksi respons hanya menjadi proyeksi linier dari perilaku masa lalu, yang sering keliru pada momen-momen disrupsi.</w:t>
      </w:r>
    </w:p>
    <w:p>
      <w:pPr>
        <w:pStyle w:val="Heading3"/>
      </w:pPr>
      <w:r>
        <w:t>3.4 Penegasan Nilai Competitive Profiling</w:t>
      </w:r>
    </w:p>
    <w:p>
      <w:pPr/>
      <w:r>
        <w:t>Argumen keempat (Adom et al. 2016, hlm. 122–123) menyajikan teknik Competitor Profile Matrix (CPM) dari Zimmerer et al. (2008) sebagai alat kunci untuk competitor profiling sistematis. CPM memetakan pesaing pada Key Success Factors (KSF) yang dibobot tertimbang, dengan skor 1–4 yang mencerminkan major weakness hingga major strength. Hasil akhirnya adalah skor tertimbang yang membandingkan posisi kompetitif perusahaan fokal dengan pesaing utamanya.</w:t>
      </w:r>
    </w:p>
    <w:p>
      <w:pPr>
        <w:pStyle w:val="BodyText"/>
      </w:pPr>
      <w:r>
        <w:t>Adom et al. menyertakan tabel ilustratif (Tabel 1, hlm. 121) di mana perusahaan A mendapat skor 2,80 sementara pesaing 1 mendapat 3,10 dan pesaing 2 mendapat 2,65. Ilustrasi ini sederhana tetapi cukup untuk menunjukkan bagaimana CPM bekerja sebagai diagnostik. Mereka juga menyertakan teknik competitor array yang dikembangkan Gordon (1989), yang strukturnya serupa CPM dengan variasi pada penyajian visual.</w:t>
      </w:r>
    </w:p>
    <w:p>
      <w:pPr>
        <w:pStyle w:val="BodyText"/>
      </w:pPr>
      <w:r>
        <w:t>Diskusi tentang CPM dan competitor array tetap berhenti di level pengantar. Adom et al. tidak membahas batas-batas kedua teknik tersebut: subjektivitas dalam pemilihan KSF, ketidakstabilan bobot pada lingkungan turbulen, dan risiko false precision yang muncul ketika skor kuantitatif disajikan tanpa kerangka pertimbangan kualitatif yang memadai. Untuk artikel yang berfungsi sebagai sintesis pedagogis, kekurangan diskusi kritis ini mengurangi nilainya sebagai alat pembelajaran.</w:t>
      </w:r>
    </w:p>
    <w:p>
      <w:pPr>
        <w:pStyle w:val="Heading3"/>
      </w:pPr>
      <w:r>
        <w:t>3.5 Tujuan Analisis Pesaing, Skema Kategorisasi, dan Dimensi Competitor Profiling</w:t>
      </w:r>
    </w:p>
    <w:p>
      <w:pPr/>
      <w:r>
        <w:t>Adom et al. (2016, hlm. 120) merangkum sembilan tujuan utama analisis pesaing: (1) mempelajari pasar; (2) memperkirakan permintaan dan penawaran organisasi; (3) memformulasikan strategi; (4) meningkatkan pangsa pasar; (5) mempelajari tren dan pola pasar; (6) mengembangkan strategi untuk pertumbuhan organisasional; (7) merencanakan diversifikasi dan ekspansi; (8) mempelajari tren yang akan datang dalam industri; dan (9) memahami kekuatan dan kelemahan pesaing saat ini yang dapat mengidentifikasi peluang dan ancaman yang layak mendapat respons. Daftar ini mencerminkan cakupan analisis pesaing yang melampaui sekadar pengumpulan informasi tentang kompetitor; ia mencakup perencanaan strategis jangka panjang, termasuk diversifikasi dan respons terhadap dinamika pasar yang berubah.</w:t>
      </w:r>
    </w:p>
    <w:p>
      <w:pPr>
        <w:pStyle w:val="BodyText"/>
      </w:pPr>
      <w:r>
        <w:t>Artikel juga menyajikan skema praktis untuk mengkategorikan strategi dan posisi rival secara cepat (Adom et al. 2016, hlm. 118). Skema ini mencakup enam dimensi: Competitive Scope (lokal, regional, nasional, multi-negara, global); Strategic Intent (menjadi pemimpin dominan, merebut posisi top 5, ekspansi agresif melalui akuisisi dan pertumbuhan internal, atau ekspansi hanya via pertumbuhan internal); Market Share Objective (akuisisi pangsa melalui ekspansi agresif, mempertahankan posisi saat ini, atau terjebak di tengah); Competitive Position/Situation (semakin menguat, sedang bergerak maju, well-entrenched, atau berjuang mempertahankan posisi); Strategic Posture (ofensif murni, defensif murni, kombinasi ofensif-defensif, atau aggressive risk-taker); dan Competitive Strategy (striving for cost leadership, fokus pada niche, atau diferensiasi berbasis harga, kualitas, dan layanan). Skema ini berguna sebagai alat scanning cepat untuk mendiagnosis profil kompetitif pesaing sebelum melakukan analisis yang lebih mendalam.</w:t>
      </w:r>
    </w:p>
    <w:p>
      <w:pPr>
        <w:pStyle w:val="BodyText"/>
      </w:pPr>
      <w:r>
        <w:t>Dimensi yang harus dicakup dalam competitor profiling yang sistematis, menurut O'Connor (2010) sebagaimana dikutip Adom et al. (2016, hlm. 122–123), mencakup delapan kategori. Background: lokasi kantor, pabrik, dan kehadiran online; sejarah, tokoh kunci, kepemilikan, dan tata kelola korporat. Financials: rasio P-E, kebijakan dividen, profitabilitas, rasio likuiditas, arus kas, dan profil pertumbuhan laba. Products: produk yang ditawarkan, kedalaman lini produk, produk baru, kekuatan R&amp;D, kualitas merek, dan pengendalian kualitas. Marketing: segmen yang dilayani, pangsa pasar, tingkat pertumbuhan pelanggan, dan anggaran promosi. Promotional strategy: saluran distribusi yang digunakan, perjanjian eksklusif, aliansi, dan jangkauan geografis. Facilities: kapasitas pabrik, efisiensi modal, dan lokasi produksi. Personnel: jumlah karyawan, kualitas manajemen, kompensasi, dan retensi. Corporate strategy: misi, tujuan, rencana pertumbuhan, akuisisi, dan divestasi. Kedelapan kategori ini membentuk ceklist kelengkapan informasi yang seharusnya tersedia sebelum pengambilan keputusan strategis yang dipengaruhi oleh dinamika pesaing.</w:t>
      </w:r>
    </w:p>
    <w:p>
      <w:pPr>
        <w:pStyle w:val="Heading2"/>
      </w:pPr>
      <w:r>
        <w:t>4. Koneksi ke Topik Silabus (Pertemuan 5 — TPGS Ch.5)</w:t>
      </w:r>
    </w:p>
    <w:p>
      <w:pPr/>
      <w:r>
        <w:t>Artikel Adom et al. berfungsi sebagai pelengkap bagi diskusi pilihan strategi generik dalam TPGS Bab 5. Argumen yang menjadi jembatan adalah bahwa pilihan strategi generik (low-cost provider, broad differentiation, focused, best-cost provider) tidak dapat diambil tanpa pemahaman akurat tentang pesaing-pesaing di dalam industri. Strategic groups yang dibentuk oleh pesaing membatasi ruang manuver perusahaan; respons yang diantisipasi dari pesaing menentukan apakah pilihan strategi tertentu dapat dipertahankan atau akan terkikis dengan cepat.</w:t>
      </w:r>
    </w:p>
    <w:p>
      <w:pPr>
        <w:pStyle w:val="BodyText"/>
      </w:pPr>
      <w:r>
        <w:t>Kontribusi Adom et al. bagi mahasiswa adalah memperkenalkan toolkit praktis (CPM, competitor array, tipologi pesaing) yang bisa dipakai sebagai prasyarat operasional sebelum pemilihan strategi generik. TPGS Bab 5 sendiri membahas pilihan strategi generik dengan fokus pada konfigurasi internal yang mendukung tiap pilihan. Adom et al. menambahkan dimensi eksternal yang melengkapi: bagaimana mengukur posisi kompetitif relatif terhadap pesaing.</w:t>
      </w:r>
    </w:p>
    <w:p>
      <w:pPr>
        <w:pStyle w:val="BodyText"/>
      </w:pPr>
      <w:r>
        <w:t>Tetapi koneksi ini punya keterbatasan yang signifikan. Adom et al. tidak melibatkan literatur kognitif competitor analysis (Zajac &amp; Bazerman 1991; Porac &amp; Thomas 1990; Reger &amp; Huff 1993) yang justru menjadi kritik paling tajam terhadap teknik-teknik kuantitatif seperti CPM. Literatur kognitif berargumen bahwa kelemahan utama analisis pesaing kontemporer bukan pada kekurangan data (yang menjadi fokus Adom et al.) melainkan pada bias dalam interpretasi data. Tanpa melibatkan literatur ini, koneksi Adom et al. ke TPGS Bab 5 menjadi terbatas pada level teknik tanpa kedalaman epistemologis yang memadai.</w:t>
      </w:r>
    </w:p>
    <w:p>
      <w:pPr>
        <w:pStyle w:val="Heading2"/>
      </w:pPr>
      <w:r>
        <w:t>5. Kekuatan Artikel</w:t>
      </w:r>
    </w:p>
    <w:p>
      <w:pPr/>
      <w:r>
        <w:t>Kekuatan pertama adalah kepraktisan untuk audiens praktisi. Artikel ditulis dengan bahasa yang aksesibel dan menyertakan ilustrasi konkret (Tabel 1 CPM, Tabel 2 competitor array) yang dapat langsung dipakai oleh manajer dan mahasiswa. Untuk pembaca yang membutuhkan orientasi cepat atas teknik competitor analysis, artikel ini berfungsi dengan baik sebagai pengantar.</w:t>
      </w:r>
    </w:p>
    <w:p>
      <w:pPr>
        <w:pStyle w:val="BodyText"/>
      </w:pPr>
      <w:r>
        <w:t>Kekuatan kedua adalah integrasi tipologi pesaing yang berguna. Adom et al. (2016, hlm. 118–119) menyajikan tipologi Kotler dan Armstrong (2009) yang mengelompokkan pesaing menjadi brand competitors, industry competitors, form competitors, dan generic competitors. Mereka juga menambahkan tipologi direct-indirect-future competitors. Tipologi ini berguna untuk memperluas radar manajer di luar pesaing langsung yang biasa terlihat. Contoh yang mereka berikan tentang Sea Ray (kapal cepat) sebagai pesaing tidak langsung Corvette (mobil sport) untuk segmen young men dengan disposable income menarik karena memperlihatkan bagaimana batas industri bisa kabur.</w:t>
      </w:r>
    </w:p>
    <w:p>
      <w:pPr>
        <w:pStyle w:val="BodyText"/>
      </w:pPr>
      <w:r>
        <w:t>Kekuatan ketiga adalah pengakuan atas dimensi etika. Adom et al. (2016, hlm. 125) menyebut isu etika dalam pengumpulan informasi pesaing: "information obtained illegally (as a result of activities such as theft, blackmail, or eavesdropping) cannot, or, at least, should not, be used as its use is unethical as well as illegal." Pengakuan ini, meskipun singkat, penting karena ia mengingatkan bahwa competitive intelligence punya batas etik. Konteks profesional SCIP sebenarnya menyediakan kerangka etika yang lebih komprehensif, tetapi Adom et al. hanya menyentuh isu ini secara superficial.</w:t>
      </w:r>
    </w:p>
    <w:p>
      <w:pPr>
        <w:pStyle w:val="BodyText"/>
      </w:pPr>
      <w:r>
        <w:t>Kekuatan keempat adalah keterbukaan terhadap dimensi root-level versus fruit-level. Adom et al. (2016, hlm. 117–118) mengutip Giget (1988) tentang analogi pohon, di mana produk akhir (fruit) adalah manifestasi visible dari kompetensi inti (root) yang tidak terlihat. Mereka mengembangkan implikasinya: analisis pesaing yang hanya fokus pada produk akhir akan miss representasi atas sumber daya dan kapabilitas yang menjadi fondasi produk tersebut. Wawasan ini, yang sebenarnya konsisten dengan kerangka VRIN dari Pertemuan 4, layak diapresiasi.</w:t>
      </w:r>
    </w:p>
    <w:p>
      <w:pPr>
        <w:pStyle w:val="BodyText"/>
      </w:pPr>
      <w:r>
        <w:t>Kekuatan kelima adalah pengakuan atas ketidaklengkapan informasi. Pada bagian akhir, Adom et al. (2016, hlm. 127) mengakui bahwa "tracking merely the visible 'fruit-level' and overlooking the 'root-level' sources of a rival firm's competitiveness may provide only a transient view of the actual strengths or weaknesses of that firm. Instead of over-relying on the analyses of markets entered and products manufactured, attention should be shifted to the less-emphasized skill base and organizational factors." Pengakuan ini menjadi takeaway yang berguna bagi pembaca yang sering jatuh pada kesalahan memetakan kompetisi hanya pada level produk.</w:t>
      </w:r>
    </w:p>
    <w:p>
      <w:pPr>
        <w:pStyle w:val="Heading2"/>
      </w:pPr>
      <w:r>
        <w:t>6. Keterbatasan dan Kelemahan</w:t>
      </w:r>
    </w:p>
    <w:p>
      <w:pPr/>
      <w:r>
        <w:t>Keterbatasan pertama adalah framing pertanyaan yang bersifat straw man. Pertanyaan inti artikel "is it a worthwhile managerial practice in contemporary times?" sebenarnya tidak diperdebatkan secara serius dalam literatur akademis. Tidak ada peneliti atau praktisi terkemuka yang berargumen bahwa analisis pesaing tidak worthwhile di era kontemporer. Dengan demikian, jawaban "ya, tetap worthwhile" yang menjadi simpulan artikel bukanlah temuan yang signifikan. Ia hanya konfirmasi atas konsensus yang sudah ada. Pertanyaan yang lebih bermakna adalah bagaimana praktik analisis pesaing harus berubah, dan artikel ini hanya menyentuh permukaannya.</w:t>
      </w:r>
    </w:p>
    <w:p>
      <w:pPr>
        <w:pStyle w:val="BodyText"/>
      </w:pPr>
      <w:r>
        <w:t>Keterbatasan kedua adalah ketiadaan kontribusi teoretis baru. Artikel adalah literature review yang merangkum sumber-sumber sekunder. Tidak ada konsep baru, tidak ada kerangka diagnostik baru, tidak ada hipotesis yang diuji. Semua argumen yang Adom et al. ajukan sudah ada di literatur sebelumnya, sering dengan formulasi yang lebih kuat dan diintegrasikan secara lebih sistematis. Untuk artikel yang dipublikasikan pada 2016, kontribusi orisinalitas yang terbatas ini menjadi kelemahan yang signifikan.</w:t>
      </w:r>
    </w:p>
    <w:p>
      <w:pPr>
        <w:pStyle w:val="BodyText"/>
      </w:pPr>
      <w:r>
        <w:t>Keterbatasan ketiga, dan ini yang paling serius menurut saya, adalah kelalaian atas literatur kognitif. Adom et al. tidak melibatkan literatur kognitif competitor analysis yang sebenarnya menjadi kritik paling tajam terhadap pendekatan tradisional. Anehnya, Blind Spots in Industry and Competitor Analysis dari Zajac dan Bazerman (1991) bahkan dikutip dalam artikel mereka (hlm. 124, dalam konteks capacity expansion), tetapi argumen utamanya tentang systematic biases dalam interpretasi pesaing tidak dikembangkan. Porac dan Thomas (1990) tentang managerial cognition and competitive groups tidak ada dalam bibliografi. Reger dan Huff (1993) tentang strategic groups as cognitive constructions juga absen.</w:t>
      </w:r>
    </w:p>
    <w:p>
      <w:pPr>
        <w:pStyle w:val="BodyText"/>
      </w:pPr>
      <w:r>
        <w:t>Akumulasi kelalaian ini berarti Adom et al. tidak pernah secara serius mempertimbangkan kemungkinan bahwa kelemahan analisis pesaing kontemporer bukan pada kekurangan data atau teknik (yang menjadi fokus mereka) melainkan pada bias kognitif dalam interpretasi. Manajer di era big data tidak kekurangan informasi tentang pesaing. Yang sulit adalah membaca informasi itu tanpa perangkap kognitif seperti overconfidence, illusion of control, dan neglect of competitor reasoning yang Zajac dan Bazerman dokumentasikan. Argumen yang lebih kuat tentang nilai competitor analysis kontemporer akan menggabungkan dimensi epistemologi kognitif ini dengan dimensi teknik yang Adom et al. sajikan.</w:t>
      </w:r>
    </w:p>
    <w:p>
      <w:pPr>
        <w:pStyle w:val="BodyText"/>
      </w:pPr>
      <w:r>
        <w:t>Keterbatasan keempat adalah engagement yang tipis dengan toolkit Fleisher dan Bensoussan. Adom et al. mengutip Fleisher dan Bensoussan (2003, 2007) sebagai rujukan utama, tetapi tidak mengembangkan toolkit 24 teknik yang ditawarkan di sana. Teknik-teknik seperti Win/Loss Analysis, Driving Forces Analysis, Customer Segmentation Analysis, Indications and Warning Analysis, dan Cognitive Mapping tidak disinggung. Artikel akan jauh lebih kaya kalau mengupas beberapa teknik ini secara mendalam, terutama yang relevan untuk kondisi era big data.</w:t>
      </w:r>
    </w:p>
    <w:p>
      <w:pPr>
        <w:pStyle w:val="BodyText"/>
      </w:pPr>
      <w:r>
        <w:t>Keterbatasan kelima adalah generalizability bukti lapangan dari Afrika. Sebagian klaim Adom et al. tentang tantangan praktis (akses informasi terbatas, kultur informal dalam competitive intelligence, ukuran pasar yang menyulitkan formalisasi sistem) mencerminkan konteks Ghana atau Afrika Sub-Sahara yang lebih luas. Klaim-klaim itu tidak otomatis berlaku untuk pasar dengan informasi tebal seperti Indonesia, di mana laporan tahunan publik, regulator OJK/BEI yang mewajibkan disclosure, dan media bisnis yang aktif menyediakan data berlimpah. Begitu juga untuk pasar dengan disclosure ketat seperti Singapura atau Hong Kong. Generalisasi prematur perlu dihindari ketika argumen mereka diaplikasikan pada konteks Asia Tenggara.</w:t>
      </w:r>
    </w:p>
    <w:p>
      <w:pPr>
        <w:pStyle w:val="BodyText"/>
      </w:pPr>
      <w:r>
        <w:t>Keterbatasan keenam adalah ketiadaan diskusi tentang cost-benefit competitor intelligence sistem. Sistem competitor intelligence yang sistematis tidak murah: butuh sumber daya manusia spesialis, infrastruktur informasi, dan integrasi dengan proses pengambilan keputusan strategis. Adom et al. mengadvokasi sistem yang sistematis tetapi tidak membahas pada kondisi apa biaya tidak sebanding dengan manfaat. Untuk perusahaan kecil dan menengah (UKM) di pasar berkembang, pertanyaan ini sangat relevan. Apakah CPM dan teknik formal lain layak diinvestasikan, atau intelijen informal yang ditempelkan pada peran manajemen umum sudah cukup?</w:t>
      </w:r>
    </w:p>
    <w:p>
      <w:pPr>
        <w:pStyle w:val="BodyText"/>
      </w:pPr>
      <w:r>
        <w:t>Keterbatasan ketujuh bersifat metodologis. Sebagai literature review integratif, artikel tidak menggunakan protokol sistematis (PRISMA, systematic review) yang akan memberi jaminan komprehensif atas literatur yang dirangkum. Pemilihan sumber tampak ad-hoc, dengan beberapa rujukan yang sudah berusia tiga dekade (Porter 1980, Oxenfeldt &amp; Schwartz 1981, Giget 1988) dan beberapa yang lebih kontemporer (David 2011, Bygrave &amp; Zacharakis 2011) tanpa argumen tentang prinsip pemilihannya. Untuk publikasi akademis, ketiadaan protokol ini menjadi kelemahan metodologis.</w:t>
      </w:r>
    </w:p>
    <w:p>
      <w:pPr>
        <w:pStyle w:val="Heading2"/>
      </w:pPr>
      <w:r>
        <w:t>7. Evaluasi Kritis</w:t>
      </w:r>
    </w:p>
    <w:p>
      <w:pPr/>
      <w:r>
        <w:t>Posisi yang adil terhadap Adom, Nyarko &amp; Som (2016) menurut saya adalah mengakui artikel ini sebagai sintesis pedagogis yang berfungsi dengan baik untuk audiens praktisi awal sambil mencatat batas-batas kontribusinya bagi literatur akademis. Empat pengamatan kritis layak ditekankan.</w:t>
      </w:r>
    </w:p>
    <w:p>
      <w:pPr>
        <w:pStyle w:val="BodyText"/>
      </w:pPr>
      <w:r>
        <w:t>Pertama, framing pertanyaan "is it worthwhile" perlu dibaca sebagai kelemahan retorika. Tidak ada lawan bicara yang benar-benar berargumen bahwa analisis pesaing tidak worthwhile. Karena itu struktur argumen mereka mendirikan straw man: posisi yang akan dikalahkan tetapi yang sebenarnya tidak diperdebatkan. Pertanyaan yang lebih substantif (bagaimana analisis pesaing harus berubah, apa bottleneck utama dalam praktik, siapa yang harus melakukannya) hanya disentuh permukaan.</w:t>
      </w:r>
    </w:p>
    <w:p>
      <w:pPr>
        <w:pStyle w:val="BodyText"/>
      </w:pPr>
      <w:r>
        <w:t>Kedua, argumen pergeseran dari akuisisi ke sense-making memang benar tetapi tidak orisinal. Pergeseran ini sudah didokumentasikan dengan formulasi yang lebih kuat oleh Fleisher dan Bensoussan (2007) dalam Business and Competitive Analysis yang menjadi rujukan kanonik literatur competitive intelligence. Adom et al. tidak menambahkan dimensi baru pada argumen ini; mereka hanya merangkumnya dengan kata-kata sendiri.</w:t>
      </w:r>
    </w:p>
    <w:p>
      <w:pPr>
        <w:pStyle w:val="BodyText"/>
      </w:pPr>
      <w:r>
        <w:t>Ketiga, kelalaian atas literatur kognitif adalah kelemahan teoretis paling serius. Competitor analysis yang efektif di era big data membutuhkan dua kapabilitas yang bersifat komplementer: kapabilitas akuisisi dan organisasi data (yang menjadi fokus Adom et al.) dan kapabilitas interpretasi yang debiased (yang luput dari pembahasan mereka). Tanpa pertimbangan eksplisit atas dimensi kedua, advokasi mereka untuk sistem yang lebih sistematis berisiko menyesatkan. Sistem yang dirancang dengan baik untuk mengumpulkan dan mengorganisasi data tetap akan menghasilkan kesimpulan yang bias kalau manajer yang menafsirkannya beroperasi di bawah perangkap kognitif yang sistematis.</w:t>
      </w:r>
    </w:p>
    <w:p>
      <w:pPr>
        <w:pStyle w:val="BodyText"/>
      </w:pPr>
      <w:r>
        <w:t>Keempat, generalisasi dari konteks Afrika ke konteks global perlu dilakukan dengan kehati-hatian. Beberapa klaim Adom et al. yang tampak universal sebenarnya konteks-bound. Pernyataan bahwa "smaller companies cannot afford to conduct competitor analysis" (hlm. 119), misalnya, lebih realistis untuk UKM di Ghana yang punya margin tipis dan akses terbatas ke layanan profesional, dibanding UKM di Indonesia yang dapat memanfaatkan platform riset komersial seperti Frost &amp; Sullivan, Statista, atau riset internal bank syariah yang sering tersedia secara publik.</w:t>
      </w:r>
    </w:p>
    <w:p>
      <w:pPr>
        <w:pStyle w:val="BodyText"/>
      </w:pPr>
      <w:r>
        <w:t>Satu pengamatan tambahan tentang struktur artikel: meskipun panjang (12 halaman), distribusi kontennya tidak proporsional. Bagian Pendahuluan dan Integrative Literature (bagian 1–2) mengambil mayoritas artikel. Bagian Diskusi yang seharusnya menjadi inti analisis kritis hanya menempati dua halaman dan didominasi ringkasan ulang argumen sebelumnya tanpa pengamatan baru yang substantif. Kesan keseluruhan, artikel berfungsi lebih sebagai literature catalog daripada critical synthesis.</w:t>
      </w:r>
    </w:p>
    <w:p>
      <w:pPr>
        <w:pStyle w:val="Heading2"/>
      </w:pPr>
      <w:r>
        <w:t>8. Implikasi bagi Pemahaman Manajemen Strategik</w:t>
      </w:r>
    </w:p>
    <w:p>
      <w:pPr/>
      <w:r>
        <w:t>Untuk mahasiswa Magister Akuntansi, Adom et al. memperkenalkan teknik-teknik praktis (CPM, competitor array, tipologi pesaing) yang dapat berguna dalam analisis kompetitif yang sering menjadi bagian dari audit strategis atau due diligence akuisisi. Pemahaman atas teknik-teknik ini dapat memperkaya kemampuan akuntan manajemen untuk berpartisipasi dalam diskusi strategis di tingkat manajemen senior, di luar peran tradisional yang berfokus pada angka-angka keuangan.</w:t>
      </w:r>
    </w:p>
    <w:p>
      <w:pPr>
        <w:pStyle w:val="BodyText"/>
      </w:pPr>
      <w:r>
        <w:t>Bagi auditor strategis dan analis investasi di Indonesia, kerangka Adom et al. (sebagaimana diperkaya dengan literatur kognitif yang mereka abaikan) memberi alat untuk mendiagnosis kekuatan analisis pesaing pada perusahaan target. Pertanyaan diagnostik yang relevan: apakah perusahaan punya proses competitor intelligence yang sistematis ataukah ad-hoc? Apakah informasi pesaing diintegrasikan ke dalam keputusan strategis ataukah hanya dirangkum dalam laporan tahunan tanpa konsekuensi tindakan? Apakah ada kapabilitas interpretasi yang debiased ataukah analisis dipenuhi overconfidence manajemen?</w:t>
      </w:r>
    </w:p>
    <w:p>
      <w:pPr>
        <w:pStyle w:val="BodyText"/>
      </w:pPr>
      <w:r>
        <w:t>Beberapa contoh paradigmatik dari konteks Indonesia dapat dibaca melalui kerangka kritis ini. BCA dan Bank Mandiri sama-sama memiliki fungsi strategic intelligence yang mature; keduanya memonitor pesaing satu sama lain dan terhadap pemain lain (BNI, BRI, bank digital) secara sistematis. Perbedaan kecepatan respons pada pengembangan layanan digital menunjukkan bahwa kualitas interpretasi berbeda meskipun kualitas data mungkin setara. BCA cenderung lebih agile pada peluncuran fitur digital, dan ini mengindikasikan bahwa proses dari intelligence ke decision lebih singkat. Pertanyaan yang relevan: apakah perbedaan ini berasal dari kualitas analisis pesaing, kualitas pengambilan keputusan, atau kombinasi keduanya?</w:t>
      </w:r>
    </w:p>
    <w:p>
      <w:pPr>
        <w:pStyle w:val="BodyText"/>
      </w:pPr>
      <w:r>
        <w:t>Indofood dalam analisis pergerakan Wings Group pada kategori kopi instan (Top Coffee vs Indocafe) dan mie instan (Mie Sedaap vs Indomie) memberikan contoh competitor analysis yang harus melibatkan dimensi distribusi, bukan sekadar produk. Wings Group secara historis kuat pada distribusi general trade (warung kelontong, minimarket tradisional) yang menjadi backbone pasar Indonesia. Tantangan kompetitif Indofood bukan hanya pada produk tetapi juga pada akses jaringan distribusi. Competitor analysis yang efektif dalam konteks ini harus menggali aktivitas distribusi (level value chain) yang sering tidak terungkap dalam laporan tahunan.</w:t>
      </w:r>
    </w:p>
    <w:p>
      <w:pPr>
        <w:pStyle w:val="BodyText"/>
      </w:pPr>
      <w:r>
        <w:t>E-commerce price-tracking otomatis (Tokopedia, Shopee, Lazada) menggambarkan pergeseran dari analisis manual ke analisis terotomasi. Platform-platform ini secara harian memantau harga pesaing pada produk-produk fast-moving dan menyesuaikan penetapan harga sendiri secara dinamis. Pada level ini, competitor analysis menjadi proses yang terotomasi sampai ke level data. Tetapi keputusan strategis yang lebih besar (struktur subsidi, prioritas kategori, model fulfillment) tetap human-mediated. Pengamatan ini mengonfirmasi kerangka Adom et al. tentang pergeseran dari akuisisi ke sense-making: data tersedia berlimpah dan terotomasi, tetapi sense-making yang menentukan strategi tetap menjadi domain manajer senior.</w:t>
      </w:r>
    </w:p>
    <w:p>
      <w:pPr>
        <w:pStyle w:val="BodyText"/>
      </w:pPr>
      <w:r>
        <w:t>Garuda Indonesia pada periode pra-AirAsia (1999–2003) adalah contoh klasik competitor blindspot dalam terminologi Zajac dan Bazerman (1991). Pada periode itu Garuda memperlakukan AirAsia sebagai pesaing kelas bawah yang tidak akan mempengaruhi segmen full-service yang menjadi pasar utamanya. Asumsi tersebut, pada saat itu, tampak rasional karena full-service dan low-cost secara struktural memang berbeda dalam preferensi pelanggan dan basis biaya. Tetapi asumsi itu tidak mengantisipasi bahwa low-cost carriers akan menggeser ekspektasi harga seluruh industri, termasuk segmen full-service. Konsekuensinya, Garuda terlambat menyesuaikan struktur biaya dan segmen pelayanannya, dan kerusakan struktural yang terjadi membutuhkan dekade untuk dipulihkan. Kasus ini adalah ilustrasi yang cukup gamblang: competitor analysis yang fokus pada data (current strategy, capabilities) tanpa menggali asumsi pesaing dapat menyesatkan secara fatal.</w:t>
      </w:r>
    </w:p>
    <w:sectPr w:rsidR="00BE0B20" w:rsidRPr="007850D3"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8D850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02863884">
    <w:abstractNumId w:val="8"/>
  </w:num>
  <w:num w:numId="2" w16cid:durableId="416752365">
    <w:abstractNumId w:val="6"/>
  </w:num>
  <w:num w:numId="3" w16cid:durableId="1814179621">
    <w:abstractNumId w:val="5"/>
  </w:num>
  <w:num w:numId="4" w16cid:durableId="105201375">
    <w:abstractNumId w:val="4"/>
  </w:num>
  <w:num w:numId="5" w16cid:durableId="598638553">
    <w:abstractNumId w:val="7"/>
  </w:num>
  <w:num w:numId="6" w16cid:durableId="393356544">
    <w:abstractNumId w:val="3"/>
  </w:num>
  <w:num w:numId="7" w16cid:durableId="166559277">
    <w:abstractNumId w:val="2"/>
  </w:num>
  <w:num w:numId="8" w16cid:durableId="2144956801">
    <w:abstractNumId w:val="1"/>
  </w:num>
  <w:num w:numId="9" w16cid:durableId="555551358">
    <w:abstractNumId w:val="0"/>
  </w:num>
  <w:num w:numId="10" w16cid:durableId="1913157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7A0"/>
    <w:rsid w:val="0029639D"/>
    <w:rsid w:val="00326F90"/>
    <w:rsid w:val="007850D3"/>
    <w:rsid w:val="00AA1D8D"/>
    <w:rsid w:val="00B47730"/>
    <w:rsid w:val="00BE0B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37D66"/>
  <w15:docId w15:val="{CF11FF4B-29C9-43E3-A075-811263F7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3808</Words>
  <Characters>21708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2</cp:revision>
  <dcterms:created xsi:type="dcterms:W3CDTF">2026-05-01T07:42:00Z</dcterms:created>
  <dcterms:modified xsi:type="dcterms:W3CDTF">2026-05-08T06:25:00Z</dcterms:modified>
</cp:coreProperties>
</file>