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81E8C" w14:textId="77777777" w:rsidR="001C4599" w:rsidRPr="0075001F" w:rsidRDefault="00000000">
      <w:pPr>
        <w:pStyle w:val="Heading1"/>
        <w:rPr>
          <w:rFonts w:ascii="Times New Roman" w:hAnsi="Times New Roman" w:cs="Times New Roman"/>
        </w:rPr>
      </w:pPr>
      <w:r w:rsidRPr="0075001F">
        <w:rPr>
          <w:rFonts w:ascii="Times New Roman" w:hAnsi="Times New Roman" w:cs="Times New Roman"/>
        </w:rPr>
        <w:t>RINGKASAN MATERI KULIAH — PERTEMUAN 5</w:t>
      </w:r>
    </w:p>
    <w:p w14:paraId="33B8DFB7" w14:textId="77777777" w:rsidR="001C4599" w:rsidRPr="0075001F" w:rsidRDefault="00000000">
      <w:pPr>
        <w:rPr>
          <w:rFonts w:cs="Times New Roman"/>
        </w:rPr>
      </w:pPr>
      <w:r w:rsidRPr="0075001F">
        <w:rPr>
          <w:rFonts w:cs="Times New Roman"/>
        </w:rPr>
        <w:t>Mata Kuliah: MST304 — Manajemen Strategik Kontemporer</w:t>
      </w:r>
    </w:p>
    <w:p w14:paraId="566B36E3" w14:textId="77777777" w:rsidR="001C4599" w:rsidRPr="0075001F" w:rsidRDefault="00000000">
      <w:pPr>
        <w:pStyle w:val="BodyText"/>
        <w:rPr>
          <w:rFonts w:cs="Times New Roman"/>
        </w:rPr>
      </w:pPr>
      <w:r w:rsidRPr="0075001F">
        <w:rPr>
          <w:rFonts w:cs="Times New Roman"/>
        </w:rPr>
        <w:t>Topik: The Five Generic Competitive Strategies (TPGS Ch.5 + Henry Ch.5)</w:t>
      </w:r>
    </w:p>
    <w:p w14:paraId="6A258046" w14:textId="77777777" w:rsidR="001C4599" w:rsidRPr="0075001F" w:rsidRDefault="00000000">
      <w:pPr>
        <w:pStyle w:val="BodyText"/>
        <w:rPr>
          <w:rFonts w:cs="Times New Roman"/>
        </w:rPr>
      </w:pPr>
      <w:r w:rsidRPr="0075001F">
        <w:rPr>
          <w:rFonts w:cs="Times New Roman"/>
        </w:rPr>
        <w:t>Mahasiswa: Dzaki Muhammad Yusfian</w:t>
      </w:r>
    </w:p>
    <w:p w14:paraId="3BB6E727" w14:textId="77777777" w:rsidR="001C4599" w:rsidRPr="0075001F" w:rsidRDefault="00000000">
      <w:pPr>
        <w:pStyle w:val="BodyText"/>
        <w:rPr>
          <w:rFonts w:cs="Times New Roman"/>
        </w:rPr>
      </w:pPr>
      <w:r w:rsidRPr="0075001F">
        <w:rPr>
          <w:rFonts w:cs="Times New Roman"/>
        </w:rPr>
        <w:t>NIM: 1125 01079</w:t>
      </w:r>
    </w:p>
    <w:p w14:paraId="72CEA852" w14:textId="77777777" w:rsidR="001C4599" w:rsidRPr="0075001F" w:rsidRDefault="001C4599">
      <w:pPr>
        <w:rPr>
          <w:rFonts w:cs="Times New Roman"/>
        </w:rPr>
      </w:pPr>
    </w:p>
    <w:p w14:paraId="7D1C33DE" w14:textId="77777777" w:rsidR="001C4599" w:rsidRPr="0075001F" w:rsidRDefault="00000000" w:rsidP="0075001F">
      <w:pPr>
        <w:pStyle w:val="Heading2"/>
        <w:jc w:val="both"/>
        <w:rPr>
          <w:rFonts w:ascii="Times New Roman" w:hAnsi="Times New Roman" w:cs="Times New Roman"/>
        </w:rPr>
      </w:pPr>
      <w:r w:rsidRPr="0075001F">
        <w:rPr>
          <w:rFonts w:ascii="Times New Roman" w:hAnsi="Times New Roman" w:cs="Times New Roman"/>
        </w:rPr>
        <w:t>1. Pendahuluan</w:t>
      </w:r>
    </w:p>
    <w:p w14:paraId="3DFEC302" w14:textId="77777777" w:rsidR="001C4599" w:rsidRPr="0075001F" w:rsidRDefault="00000000" w:rsidP="0075001F">
      <w:pPr>
        <w:jc w:val="both"/>
        <w:rPr>
          <w:rFonts w:cs="Times New Roman"/>
        </w:rPr>
      </w:pPr>
      <w:r w:rsidRPr="0075001F">
        <w:rPr>
          <w:rFonts w:cs="Times New Roman"/>
        </w:rPr>
        <w:t>Pertemuan 5 menjawab pertanyaan yang lahir langsung dari dua pertemuan sebelumnya. Pertemuan 3 memetakan struktur industri dan tekanan kompetitif yang membentuk lingkungan eksternal; Pertemuan 4 mengurai sumber daya dan kapabilitas internal lewat resource-based view. Pertanyaan yang menggantung dari keduanya cukup sentral bagi seluruh disiplin manajemen strategik: bagaimana perusahaan sebenarnya bersaing di dalam industri yang sudah dikenalnya, dan posisi kompetitif apa yang harus diambil agar sumber daya internalnya benar-benar berubah menjadi kinerja yang superior.</w:t>
      </w:r>
    </w:p>
    <w:p w14:paraId="718C0B33" w14:textId="77777777" w:rsidR="001C4599" w:rsidRPr="0075001F" w:rsidRDefault="00000000" w:rsidP="0075001F">
      <w:pPr>
        <w:pStyle w:val="BodyText"/>
        <w:jc w:val="both"/>
        <w:rPr>
          <w:rFonts w:cs="Times New Roman"/>
        </w:rPr>
      </w:pPr>
      <w:r w:rsidRPr="0075001F">
        <w:rPr>
          <w:rFonts w:cs="Times New Roman"/>
        </w:rPr>
        <w:t>Pertanyaan inilah yang dijawab oleh kerangka generic competitive strategies. Porter (1980, 1985) memberi peta dasar, dan tradisi TPGS memperluasnya menjadi lima posisi: low-cost provider, broad differentiation, focused low-cost, focused differentiation, dan best-cost provider. Henry (2021) menempatkan diskusi yang sama dalam konteks lima kekuatan industri dan analisis pesaing, sehingga pilihan posisi tidak terlepas dari pemahaman tentang struktur kompetisi yang lebih luas.</w:t>
      </w:r>
    </w:p>
    <w:p w14:paraId="24969DD0" w14:textId="77777777" w:rsidR="001C4599" w:rsidRPr="0075001F" w:rsidRDefault="00000000" w:rsidP="0075001F">
      <w:pPr>
        <w:pStyle w:val="BodyText"/>
        <w:jc w:val="both"/>
        <w:rPr>
          <w:rFonts w:cs="Times New Roman"/>
          <w:lang w:val="fi-FI"/>
        </w:rPr>
      </w:pPr>
      <w:r w:rsidRPr="0075001F">
        <w:rPr>
          <w:rFonts w:cs="Times New Roman"/>
          <w:lang w:val="fi-FI"/>
        </w:rPr>
        <w:t>Materi pertemuan ini bukan sekadar latihan klasifikasi. Argumen besarnya adalah bahwa pilihan strategi generik bukan keputusan administratif yang gampang dibalik. Ia adalah komitmen organisasional yang ikut membentuk arsitektur biaya, struktur diferensiasi, sistem insentif, sampai budaya kerja perusahaan untuk jangka menengah. Kalau salah pilih atau dijalankan setengah hati, hasilnya bukan sekadar kinerja biasa-biasa saja. Perusahaan bisa terdorong ke posisi yang oleh Porter disebut stuck in the middle, sebuah jebakan struktural yang sulit dilepaskan.</w:t>
      </w:r>
    </w:p>
    <w:p w14:paraId="4130F8D3" w14:textId="77777777" w:rsidR="001C4599" w:rsidRPr="0075001F" w:rsidRDefault="00000000" w:rsidP="0075001F">
      <w:pPr>
        <w:pStyle w:val="BodyText"/>
        <w:jc w:val="both"/>
        <w:rPr>
          <w:rFonts w:cs="Times New Roman"/>
          <w:lang w:val="da-DK"/>
        </w:rPr>
      </w:pPr>
      <w:r w:rsidRPr="0075001F">
        <w:rPr>
          <w:rFonts w:cs="Times New Roman"/>
          <w:lang w:val="da-DK"/>
        </w:rPr>
        <w:t xml:space="preserve">Pertemuan ini juga menjadi jembatan ke Pertemuan 6 (strategi tingkat korporat) dan Pertemuan 7 (strategi internasional). Pilihan posisi pada level strategic business unit (SBU) membatasi ruang gerak strategi tingkat korporat. Portofolio bisnis yang dibangun di atas diferensiasi tidak bisa begitu saja ditangani dengan logika cost leadership di tingkat korporat </w:t>
      </w:r>
      <w:r w:rsidRPr="0075001F">
        <w:rPr>
          <w:rFonts w:cs="Times New Roman"/>
          <w:lang w:val="da-DK"/>
        </w:rPr>
        <w:lastRenderedPageBreak/>
        <w:t>tanpa memunculkan konflik organisasional. Karena itu, pemahaman yang baik atas Pertemuan 5 menjadi prasyarat agar diskusi pertemuan-pertemuan berikutnya tidak berhenti di permukaan.</w:t>
      </w:r>
    </w:p>
    <w:p w14:paraId="0EC67C57" w14:textId="77777777" w:rsidR="001C4599" w:rsidRPr="0075001F" w:rsidRDefault="00000000" w:rsidP="0075001F">
      <w:pPr>
        <w:pStyle w:val="Heading2"/>
        <w:jc w:val="both"/>
        <w:rPr>
          <w:rFonts w:ascii="Times New Roman" w:hAnsi="Times New Roman" w:cs="Times New Roman"/>
          <w:lang w:val="da-DK"/>
        </w:rPr>
      </w:pPr>
      <w:r w:rsidRPr="0075001F">
        <w:rPr>
          <w:rFonts w:ascii="Times New Roman" w:hAnsi="Times New Roman" w:cs="Times New Roman"/>
          <w:lang w:val="da-DK"/>
        </w:rPr>
        <w:t>2. Akar Konseptual: Porter sebagai Reaksi atas Paradigma SCP</w:t>
      </w:r>
    </w:p>
    <w:p w14:paraId="6F9CC63B" w14:textId="77777777" w:rsidR="001C4599" w:rsidRPr="0075001F" w:rsidRDefault="00000000" w:rsidP="0075001F">
      <w:pPr>
        <w:jc w:val="both"/>
        <w:rPr>
          <w:rFonts w:cs="Times New Roman"/>
          <w:lang w:val="da-DK"/>
        </w:rPr>
      </w:pPr>
      <w:r w:rsidRPr="0075001F">
        <w:rPr>
          <w:rFonts w:cs="Times New Roman"/>
          <w:lang w:val="da-DK"/>
        </w:rPr>
        <w:t xml:space="preserve">Untuk memahami kenapa lima strategi generik dirumuskan dengan struktur tertentu, ada baiknya kita lihat dulu di mana Porter menulis. </w:t>
      </w:r>
      <w:r w:rsidRPr="0075001F">
        <w:rPr>
          <w:rFonts w:cs="Times New Roman"/>
        </w:rPr>
        <w:t xml:space="preserve">Competitive Strategy (1980) terbit dalam konteks pemikiran industrial organization economics yang didominasi paradigma Structure-Conduct-Performance (SCP) warisan Mason dan Bain. Logika SCP cukup deterministik: struktur industri (jumlah pesaing, hambatan masuk, diferensiasi produk) menentukan perilaku perusahaan, yang lalu menentukan kinerjanya. </w:t>
      </w:r>
      <w:r w:rsidRPr="0075001F">
        <w:rPr>
          <w:rFonts w:cs="Times New Roman"/>
          <w:lang w:val="da-DK"/>
        </w:rPr>
        <w:t>Dalam logika ini, manajer adalah aktor pasif yang bereaksi terhadap struktur, dan analisis strategis nyaris tereduksi menjadi diagnosis industri.</w:t>
      </w:r>
    </w:p>
    <w:p w14:paraId="6C6DC136" w14:textId="77777777" w:rsidR="001C4599" w:rsidRPr="0075001F" w:rsidRDefault="00000000" w:rsidP="0075001F">
      <w:pPr>
        <w:pStyle w:val="BodyText"/>
        <w:jc w:val="both"/>
        <w:rPr>
          <w:rFonts w:cs="Times New Roman"/>
          <w:lang w:val="da-DK"/>
        </w:rPr>
      </w:pPr>
      <w:r w:rsidRPr="0075001F">
        <w:rPr>
          <w:rFonts w:cs="Times New Roman"/>
          <w:lang w:val="da-DK"/>
        </w:rPr>
        <w:t>Yang dilakukan Porter adalah membalik sebagian logika tersebut. Ia tetap mengakui pentingnya struktur industri dan memformalkannya sebagai five forces, tetapi ia memberi ruang besar bagi tindakan strategis perusahaan dalam membentuk posisinya di dalam struktur itu. Lima strategi generik adalah peta yang ia tawarkan untuk pilihan tindakan tersebut. Posisinya secara intelektual cukup elegan: kerangka industrial organization tetap dipakai sebagai latar, tetapi manajer mendapat ruang agensi strategis yang sebelumnya tidak ada dalam tradisi ekonomi industri murni.</w:t>
      </w:r>
    </w:p>
    <w:p w14:paraId="499A3784" w14:textId="77777777" w:rsidR="001C4599" w:rsidRPr="0075001F" w:rsidRDefault="00000000" w:rsidP="0075001F">
      <w:pPr>
        <w:pStyle w:val="BodyText"/>
        <w:jc w:val="both"/>
        <w:rPr>
          <w:rFonts w:cs="Times New Roman"/>
          <w:lang w:val="da-DK"/>
        </w:rPr>
      </w:pPr>
      <w:r w:rsidRPr="0075001F">
        <w:rPr>
          <w:rFonts w:cs="Times New Roman"/>
          <w:lang w:val="da-DK"/>
        </w:rPr>
        <w:t>Dua dimensi fundamental yang menstruktur kerangka Porter adalah cakupan pasar (luas atau sempit) dan sumber keunggulan (biaya rendah atau diferensiasi). Salavou (2015, hlm. 82) menggambarkan kerangka ini sebagai matriks 2x2 yang menghasilkan empat sel klasik: cost leadership broad, differentiation broad, focus cost, dan focus differentiation. TPGS kemudian menambahkan sel kelima yaitu best-cost provider. Kelima sel ini bukan sekadar kombinatorial; masing-masing punya logika ekonomis dan organisasional yang berbeda.</w:t>
      </w:r>
    </w:p>
    <w:p w14:paraId="3C50A961" w14:textId="77777777" w:rsidR="001C4599" w:rsidRPr="0075001F" w:rsidRDefault="00000000" w:rsidP="0075001F">
      <w:pPr>
        <w:pStyle w:val="BodyText"/>
        <w:jc w:val="both"/>
        <w:rPr>
          <w:rFonts w:cs="Times New Roman"/>
          <w:lang w:val="da-DK"/>
        </w:rPr>
      </w:pPr>
      <w:r w:rsidRPr="0075001F">
        <w:rPr>
          <w:rFonts w:cs="Times New Roman"/>
          <w:lang w:val="da-DK"/>
        </w:rPr>
        <w:t>Yang sering tidak ditegaskan adalah bahwa pada tataran teoretis, Porter (1985) memandang kelima posisi ini sebagai mutually exclusive. Perusahaan harus memilih satu dan membangun seluruh konfigurasi sumber dayanya untuk mendukung pilihan itu. Argumen tersebut bersandar pada keyakinan bahwa cost leadership dan differentiation menuntut konfigurasi yang bertentangan, sehingga mengejar keduanya secara simultan akan menghasilkan kompromi yang merusak keduanya. Kritik atas argumen inilah yang nantinya menjadi pintu masuk bagi seluruh diskusi tentang strategi hybrid dan pergeseran ke kerangka best-cost provider.</w:t>
      </w:r>
    </w:p>
    <w:p w14:paraId="7D7ED3B0" w14:textId="77777777" w:rsidR="001C4599" w:rsidRPr="0075001F" w:rsidRDefault="00000000" w:rsidP="0075001F">
      <w:pPr>
        <w:pStyle w:val="Heading2"/>
        <w:jc w:val="both"/>
        <w:rPr>
          <w:rFonts w:ascii="Times New Roman" w:hAnsi="Times New Roman" w:cs="Times New Roman"/>
          <w:lang w:val="da-DK"/>
        </w:rPr>
      </w:pPr>
      <w:r w:rsidRPr="0075001F">
        <w:rPr>
          <w:rFonts w:ascii="Times New Roman" w:hAnsi="Times New Roman" w:cs="Times New Roman"/>
          <w:lang w:val="da-DK"/>
        </w:rPr>
        <w:lastRenderedPageBreak/>
        <w:t>3. Lima Strategi Generik: Logika Ekonomis dan Kondisi Keberhasilan</w:t>
      </w:r>
    </w:p>
    <w:p w14:paraId="058C04E5" w14:textId="77777777" w:rsidR="001C4599" w:rsidRPr="0075001F" w:rsidRDefault="00000000" w:rsidP="0075001F">
      <w:pPr>
        <w:pStyle w:val="Heading3"/>
        <w:jc w:val="both"/>
        <w:rPr>
          <w:rFonts w:ascii="Times New Roman" w:hAnsi="Times New Roman" w:cs="Times New Roman"/>
          <w:lang w:val="da-DK"/>
        </w:rPr>
      </w:pPr>
      <w:r w:rsidRPr="0075001F">
        <w:rPr>
          <w:rFonts w:ascii="Times New Roman" w:hAnsi="Times New Roman" w:cs="Times New Roman"/>
          <w:lang w:val="da-DK"/>
        </w:rPr>
        <w:t>3.1 Low-Cost Provider</w:t>
      </w:r>
    </w:p>
    <w:p w14:paraId="67A485B4" w14:textId="77777777" w:rsidR="001C4599" w:rsidRPr="0075001F" w:rsidRDefault="00000000" w:rsidP="0075001F">
      <w:pPr>
        <w:jc w:val="both"/>
        <w:rPr>
          <w:rFonts w:cs="Times New Roman"/>
          <w:lang w:val="da-DK"/>
        </w:rPr>
      </w:pPr>
      <w:r w:rsidRPr="0075001F">
        <w:rPr>
          <w:rFonts w:cs="Times New Roman"/>
          <w:lang w:val="da-DK"/>
        </w:rPr>
        <w:t>Low-cost provider berusaha menghasilkan biaya per unit yang lebih rendah dari pesaing untuk produk yang dianggap setara oleh pelanggan. Logika ekonomisnya bergerak di dua jalur. Pertama, pada harga pasar yang sama, margin yang lebih besar memungkinkan investasi ulang yang memperkuat posisi biaya. Kedua, ketika kompetisi harga memanas, perusahaan dengan biaya terendah masih bisa bertahan pada harga yang sudah tidak sanggup ditandingi pesaing. Kombinasi keduanya membuat posisi ini menjadi pertahanan struktural yang kuat dalam industri yang sensitif terhadap harga.</w:t>
      </w:r>
    </w:p>
    <w:p w14:paraId="2DAA334B" w14:textId="77777777" w:rsidR="001C4599" w:rsidRPr="0075001F" w:rsidRDefault="00000000" w:rsidP="0075001F">
      <w:pPr>
        <w:pStyle w:val="BodyText"/>
        <w:jc w:val="both"/>
        <w:rPr>
          <w:rFonts w:cs="Times New Roman"/>
          <w:lang w:val="da-DK"/>
        </w:rPr>
      </w:pPr>
      <w:r w:rsidRPr="0075001F">
        <w:rPr>
          <w:rFonts w:cs="Times New Roman"/>
          <w:lang w:val="da-DK"/>
        </w:rPr>
        <w:t>Strategi ini bekerja paling baik kalau permintaan industri memang sensitif terhadap harga, produk relatif terstandar, switching cost pelanggan rendah, dan skala produksi memberi keuntungan biaya yang signifikan. Sumbernya bisa bermacam-macam: skala ekonomi, learning curve, kontrol biaya bahan baku, integrasi vertikal yang efisien, lokasi yang menguntungkan, atau teknologi proses yang lebih murah.</w:t>
      </w:r>
    </w:p>
    <w:p w14:paraId="757E831C" w14:textId="77777777" w:rsidR="001C4599" w:rsidRPr="0075001F" w:rsidRDefault="00000000" w:rsidP="0075001F">
      <w:pPr>
        <w:pStyle w:val="BodyText"/>
        <w:jc w:val="both"/>
        <w:rPr>
          <w:rFonts w:cs="Times New Roman"/>
          <w:lang w:val="pt-BR"/>
        </w:rPr>
      </w:pPr>
      <w:r w:rsidRPr="0075001F">
        <w:rPr>
          <w:rFonts w:cs="Times New Roman"/>
          <w:lang w:val="da-DK"/>
        </w:rPr>
        <w:t xml:space="preserve">Strategi ini gagal kalau pesaing berhasil meniru struktur biaya yang sama, kalau perubahan teknologi mengubah investasi biaya yang sudah ditanam menjadi sunk cost, atau kalau pelanggan bergeser ke arah diferensiasi yang tidak bisa dipenuhi oleh pemimpin biaya. </w:t>
      </w:r>
      <w:r w:rsidRPr="0075001F">
        <w:rPr>
          <w:rFonts w:cs="Times New Roman"/>
          <w:lang w:val="pt-BR"/>
        </w:rPr>
        <w:t>AirAsia di pasar penerbangan Asia Tenggara adalah contoh yang berhasil. Garuda Indonesia, sebaliknya, mengalami tekanan struktural justru karena mencoba mempertahankan posisi full-service tanpa mampu menandingi struktur biaya pesaing low-cost.</w:t>
      </w:r>
    </w:p>
    <w:p w14:paraId="1178B239" w14:textId="77777777" w:rsidR="001C4599" w:rsidRPr="0075001F" w:rsidRDefault="00000000" w:rsidP="0075001F">
      <w:pPr>
        <w:pStyle w:val="Heading3"/>
        <w:jc w:val="both"/>
        <w:rPr>
          <w:rFonts w:ascii="Times New Roman" w:hAnsi="Times New Roman" w:cs="Times New Roman"/>
          <w:lang w:val="pt-BR"/>
        </w:rPr>
      </w:pPr>
      <w:r w:rsidRPr="0075001F">
        <w:rPr>
          <w:rFonts w:ascii="Times New Roman" w:hAnsi="Times New Roman" w:cs="Times New Roman"/>
          <w:lang w:val="pt-BR"/>
        </w:rPr>
        <w:t>3.2 Broad Differentiation</w:t>
      </w:r>
    </w:p>
    <w:p w14:paraId="5E5A01A8" w14:textId="77777777" w:rsidR="001C4599" w:rsidRPr="0075001F" w:rsidRDefault="00000000" w:rsidP="0075001F">
      <w:pPr>
        <w:jc w:val="both"/>
        <w:rPr>
          <w:rFonts w:cs="Times New Roman"/>
          <w:lang w:val="pt-BR"/>
        </w:rPr>
      </w:pPr>
      <w:r w:rsidRPr="0075001F">
        <w:rPr>
          <w:rFonts w:cs="Times New Roman"/>
          <w:lang w:val="pt-BR"/>
        </w:rPr>
        <w:t>Broad differentiation menawarkan produk yang dipersepsikan unik oleh sebagian besar pelanggan industri, sehingga perusahaan bisa mengenakan harga premium. Logika ekonomisnya berbeda dari cost leadership. Profitabilitas didorong oleh margin yang dihasilkan dari kemampuan harga, bukan dari volume yang dihasilkan biaya rendah. Sumber diferensiasi bisa datang dari kualitas produk, fitur inovatif, layanan pelanggan, citra merek, jaringan distribusi yang superior, atau kombinasinya.</w:t>
      </w:r>
    </w:p>
    <w:p w14:paraId="3DFE78C7" w14:textId="77777777" w:rsidR="001C4599" w:rsidRPr="0075001F" w:rsidRDefault="00000000" w:rsidP="0075001F">
      <w:pPr>
        <w:pStyle w:val="BodyText"/>
        <w:jc w:val="both"/>
        <w:rPr>
          <w:rFonts w:cs="Times New Roman"/>
          <w:lang w:val="pt-BR"/>
        </w:rPr>
      </w:pPr>
      <w:r w:rsidRPr="0075001F">
        <w:rPr>
          <w:rFonts w:cs="Times New Roman"/>
          <w:lang w:val="pt-BR"/>
        </w:rPr>
        <w:t xml:space="preserve">Strategi ini bekerja kalau preferensi pelanggan beragam dan tidak bisa dipuaskan oleh produk standar, kalau atribut diferensiasi sulit ditiru pesaing, dan kalau perusahaan punya kapabilitas inovasi atau pemasaran yang kuat. Industri mobil mewah, kosmetik premium, dan jasa konsultasi profesional adalah contoh klasik. Di sektor perbankan Indonesia, BCA dan Bank Mandiri sama-sama menjalankan broad differentiation tetapi dengan bahan bakar yang berbeda. BCA membangun diferensiasi lewat kualitas layanan, kecepatan transaksi, dan </w:t>
      </w:r>
      <w:r w:rsidRPr="0075001F">
        <w:rPr>
          <w:rFonts w:cs="Times New Roman"/>
          <w:lang w:val="pt-BR"/>
        </w:rPr>
        <w:lastRenderedPageBreak/>
        <w:t>keandalan platform digital yang menjadi gold standard nasabah ritel kelas menengah atas. Mandiri membangun diferensiasi lewat jangkauan jaringan dan integrasi layanan korporasi-ritel yang ekstensif. Keduanya bisa mengenakan harga premium relatif terhadap pesaing meskipun cara mereka menghasilkan persepsi nilai cukup berbeda.</w:t>
      </w:r>
    </w:p>
    <w:p w14:paraId="666C2F9A" w14:textId="77777777" w:rsidR="001C4599" w:rsidRPr="0075001F" w:rsidRDefault="00000000" w:rsidP="0075001F">
      <w:pPr>
        <w:pStyle w:val="BodyText"/>
        <w:jc w:val="both"/>
        <w:rPr>
          <w:rFonts w:cs="Times New Roman"/>
          <w:lang w:val="pt-BR"/>
        </w:rPr>
      </w:pPr>
      <w:r w:rsidRPr="0075001F">
        <w:rPr>
          <w:rFonts w:cs="Times New Roman"/>
          <w:lang w:val="pt-BR"/>
        </w:rPr>
        <w:t>Risiko utama strategi ini ada dua. Pertama, imitasi atribut diferensiasi yang menggerus nilai premium. Kedua, over-differentiation, yaitu menumpuk fitur yang tidak benar-benar dihargai pelanggan tetapi terlanjur menambah biaya. Risiko kedua biasanya terjadi pada perusahaan yang terlalu berorientasi pada engineering internal dan kehilangan kontak dengan persepsi pelanggan.</w:t>
      </w:r>
    </w:p>
    <w:p w14:paraId="5F6B0175" w14:textId="77777777" w:rsidR="001C4599" w:rsidRPr="0075001F" w:rsidRDefault="00000000" w:rsidP="0075001F">
      <w:pPr>
        <w:pStyle w:val="Heading3"/>
        <w:jc w:val="both"/>
        <w:rPr>
          <w:rFonts w:ascii="Times New Roman" w:hAnsi="Times New Roman" w:cs="Times New Roman"/>
        </w:rPr>
      </w:pPr>
      <w:r w:rsidRPr="0075001F">
        <w:rPr>
          <w:rFonts w:ascii="Times New Roman" w:hAnsi="Times New Roman" w:cs="Times New Roman"/>
        </w:rPr>
        <w:t>3.3 Focused Low-Cost</w:t>
      </w:r>
    </w:p>
    <w:p w14:paraId="2723CF87" w14:textId="77777777" w:rsidR="001C4599" w:rsidRPr="0075001F" w:rsidRDefault="00000000" w:rsidP="0075001F">
      <w:pPr>
        <w:jc w:val="both"/>
        <w:rPr>
          <w:rFonts w:cs="Times New Roman"/>
        </w:rPr>
      </w:pPr>
      <w:r w:rsidRPr="0075001F">
        <w:rPr>
          <w:rFonts w:cs="Times New Roman"/>
        </w:rPr>
        <w:t>Focused low-cost mengejar keunggulan biaya pada segmen pasar yang sempit. Bedanya dengan low-cost provider yang melayani pasar luas, focused low-cost memilih satu segmen tertentu (geografis, demografis, atau berbasis kebutuhan spesifik) dan membangun struktur biaya yang dioptimalkan untuk segmen itu saja. Logikanya adalah bahwa efisiensi yang dirancang untuk segmen sempit kerap melampaui efisiensi pemain pasar luas, yang harus mengakomodasi heterogenitas permintaan.</w:t>
      </w:r>
    </w:p>
    <w:p w14:paraId="23DD48B5" w14:textId="77777777" w:rsidR="001C4599" w:rsidRPr="0075001F" w:rsidRDefault="00000000" w:rsidP="0075001F">
      <w:pPr>
        <w:pStyle w:val="BodyText"/>
        <w:jc w:val="both"/>
        <w:rPr>
          <w:rFonts w:cs="Times New Roman"/>
        </w:rPr>
      </w:pPr>
      <w:r w:rsidRPr="0075001F">
        <w:rPr>
          <w:rFonts w:cs="Times New Roman"/>
        </w:rPr>
        <w:t>Strategi ini berhasil kalau segmen yang dipilih punya kebutuhan yang berbeda dari pasar luas dan kalau pesaing yang lebih besar tidak menemukan ekonomis untuk masuk ke sana. AirAsia pada periode awalnya (1999-2003) menerapkan focused low-cost pada rute-rute tertentu di Asia Tenggara sebelum kemudian melebar ke posisi broad low-cost di seluruh kawasan.</w:t>
      </w:r>
    </w:p>
    <w:p w14:paraId="7B3B1959" w14:textId="77777777" w:rsidR="001C4599" w:rsidRPr="0075001F" w:rsidRDefault="00000000" w:rsidP="0075001F">
      <w:pPr>
        <w:pStyle w:val="Heading3"/>
        <w:jc w:val="both"/>
        <w:rPr>
          <w:rFonts w:ascii="Times New Roman" w:hAnsi="Times New Roman" w:cs="Times New Roman"/>
        </w:rPr>
      </w:pPr>
      <w:r w:rsidRPr="0075001F">
        <w:rPr>
          <w:rFonts w:ascii="Times New Roman" w:hAnsi="Times New Roman" w:cs="Times New Roman"/>
        </w:rPr>
        <w:t>3.4 Focused Differentiation</w:t>
      </w:r>
    </w:p>
    <w:p w14:paraId="2548641E" w14:textId="77777777" w:rsidR="001C4599" w:rsidRPr="0075001F" w:rsidRDefault="00000000" w:rsidP="0075001F">
      <w:pPr>
        <w:jc w:val="both"/>
        <w:rPr>
          <w:rFonts w:cs="Times New Roman"/>
          <w:lang w:val="da-DK"/>
        </w:rPr>
      </w:pPr>
      <w:r w:rsidRPr="0075001F">
        <w:rPr>
          <w:rFonts w:cs="Times New Roman"/>
        </w:rPr>
        <w:t xml:space="preserve">Focused differentiation menggabungkan diferensiasi dengan fokus segmen. Perusahaan menawarkan produk yang dipersepsikan unik bagi segmen pelanggan yang spesifik, dengan harapan bahwa kebutuhan segmen itu cukup khas sehingga pemain pasar luas tidak akan bisa memenuhinya secara memadai. </w:t>
      </w:r>
      <w:r w:rsidRPr="0075001F">
        <w:rPr>
          <w:rFonts w:cs="Times New Roman"/>
          <w:lang w:val="da-DK"/>
        </w:rPr>
        <w:t>Industri makanan organik premium, produk halal spesialis, dan klinik kecantikan eksklusif adalah ilustrasi yang sering dipakai.</w:t>
      </w:r>
    </w:p>
    <w:p w14:paraId="6535A53E" w14:textId="77777777" w:rsidR="001C4599" w:rsidRPr="0075001F" w:rsidRDefault="00000000" w:rsidP="0075001F">
      <w:pPr>
        <w:pStyle w:val="BodyText"/>
        <w:jc w:val="both"/>
        <w:rPr>
          <w:rFonts w:cs="Times New Roman"/>
          <w:lang w:val="da-DK"/>
        </w:rPr>
      </w:pPr>
      <w:r w:rsidRPr="0075001F">
        <w:rPr>
          <w:rFonts w:cs="Times New Roman"/>
          <w:lang w:val="da-DK"/>
        </w:rPr>
        <w:t>Keberhasilan strategi ini bergantung pada tiga hal yang saling terkait: kemampuan mengidentifikasi segmen yang underserved, kemampuan membangun atribut diferensiasi yang relevan secara mendalam dengan kebutuhan segmen itu, dan kemampuan melindungi segmen dari serangan pemain yang lebih besar. Risikonya adalah segmen menjadi terlalu sempit untuk mendukung skala ekonomi minimum, atau pemain besar masuk dengan menambahkan kapabilitas yang dibutuhkan segmen tersebut.</w:t>
      </w:r>
    </w:p>
    <w:p w14:paraId="56112D43" w14:textId="77777777" w:rsidR="001C4599" w:rsidRPr="0075001F" w:rsidRDefault="00000000" w:rsidP="0075001F">
      <w:pPr>
        <w:pStyle w:val="Heading3"/>
        <w:jc w:val="both"/>
        <w:rPr>
          <w:rFonts w:ascii="Times New Roman" w:hAnsi="Times New Roman" w:cs="Times New Roman"/>
          <w:lang w:val="da-DK"/>
        </w:rPr>
      </w:pPr>
      <w:r w:rsidRPr="0075001F">
        <w:rPr>
          <w:rFonts w:ascii="Times New Roman" w:hAnsi="Times New Roman" w:cs="Times New Roman"/>
          <w:lang w:val="da-DK"/>
        </w:rPr>
        <w:lastRenderedPageBreak/>
        <w:t>3.5 Best-Cost Provider</w:t>
      </w:r>
    </w:p>
    <w:p w14:paraId="6C025933" w14:textId="77777777" w:rsidR="001C4599" w:rsidRPr="0075001F" w:rsidRDefault="00000000" w:rsidP="0075001F">
      <w:pPr>
        <w:jc w:val="both"/>
        <w:rPr>
          <w:rFonts w:cs="Times New Roman"/>
          <w:lang w:val="da-DK"/>
        </w:rPr>
      </w:pPr>
      <w:r w:rsidRPr="0075001F">
        <w:rPr>
          <w:rFonts w:cs="Times New Roman"/>
          <w:lang w:val="da-DK"/>
        </w:rPr>
        <w:t>TPGS menambahkan posisi kelima yang tidak ada secara eksplisit dalam taksonomi Porter 1980, yaitu best-cost provider. Posisi ini hybrid pada dasarnya. Perusahaan menawarkan produk dengan atribut diferensiasi yang relevan pada harga yang lebih rendah daripada pemain broad differentiation. Logikanya bukan kompromi melainkan integrasi: efisiensi biaya dibangun pada aktivitas yang tidak terlihat oleh pelanggan (logistik, prokuremen, proses produksi standar), sementara sumber daya dialokasikan ke aktivitas yang dilihat pelanggan (kualitas produk inti, layanan, touchpoint tertentu).</w:t>
      </w:r>
    </w:p>
    <w:p w14:paraId="3124EF04" w14:textId="77777777" w:rsidR="001C4599" w:rsidRPr="0075001F" w:rsidRDefault="00000000" w:rsidP="0075001F">
      <w:pPr>
        <w:pStyle w:val="BodyText"/>
        <w:jc w:val="both"/>
        <w:rPr>
          <w:rFonts w:cs="Times New Roman"/>
        </w:rPr>
      </w:pPr>
      <w:r w:rsidRPr="0075001F">
        <w:rPr>
          <w:rFonts w:cs="Times New Roman"/>
        </w:rPr>
        <w:t>Indomaret dan Alfamart di Indonesia adalah contoh paradigmatik best-cost provider. Keduanya membangun skala distribusi yang efisien sehingga struktur biayanya rendah, sambil tetap menawarkan kenyamanan lokasi, keseragaman pengalaman, dan jam operasional yang lebih baik dari warung tradisional. Hasilnya bukan sekadar memenangkan kompetisi melawan ritel modern lainnya. Mereka, secara perlahan, menggantikan ekosistem warung tradisional dengan struktur ritel yang berbeda.</w:t>
      </w:r>
    </w:p>
    <w:p w14:paraId="70F23F19" w14:textId="77777777" w:rsidR="001C4599" w:rsidRPr="0075001F" w:rsidRDefault="00000000" w:rsidP="0075001F">
      <w:pPr>
        <w:pStyle w:val="BodyText"/>
        <w:jc w:val="both"/>
        <w:rPr>
          <w:rFonts w:cs="Times New Roman"/>
        </w:rPr>
      </w:pPr>
      <w:r w:rsidRPr="0075001F">
        <w:rPr>
          <w:rFonts w:cs="Times New Roman"/>
        </w:rPr>
        <w:t>Eksistensi best-cost provider sebagai posisi yang sah secara strategis sebenarnya merupakan pengakuan diam dari TPGS bahwa argumen mutually exclusive Porter klasik perlu direvisi. Pengakuan inilah yang nanti menjadi titik tolak diskusi Salavou (2015) dan literatur strategi hybrid yang akan dibahas di Bagian 5.</w:t>
      </w:r>
    </w:p>
    <w:p w14:paraId="186B8956" w14:textId="77777777" w:rsidR="001C4599" w:rsidRPr="0075001F" w:rsidRDefault="00000000" w:rsidP="0075001F">
      <w:pPr>
        <w:pStyle w:val="Heading2"/>
        <w:jc w:val="both"/>
        <w:rPr>
          <w:rFonts w:ascii="Times New Roman" w:hAnsi="Times New Roman" w:cs="Times New Roman"/>
        </w:rPr>
      </w:pPr>
      <w:r w:rsidRPr="0075001F">
        <w:rPr>
          <w:rFonts w:ascii="Times New Roman" w:hAnsi="Times New Roman" w:cs="Times New Roman"/>
        </w:rPr>
        <w:t>4. Stuck in the Middle: Argumen Porter dan Tantangan Empiris</w:t>
      </w:r>
    </w:p>
    <w:p w14:paraId="70806767" w14:textId="77777777" w:rsidR="001C4599" w:rsidRPr="0075001F" w:rsidRDefault="00000000" w:rsidP="0075001F">
      <w:pPr>
        <w:jc w:val="both"/>
        <w:rPr>
          <w:rFonts w:cs="Times New Roman"/>
        </w:rPr>
      </w:pPr>
      <w:r w:rsidRPr="0075001F">
        <w:rPr>
          <w:rFonts w:cs="Times New Roman"/>
        </w:rPr>
        <w:t>Argumen stuck in the middle (Porter 1980, 1985) menyatakan bahwa perusahaan yang mencoba menjalankan cost leadership dan differentiation secara simultan akan gagal pada keduanya. Logikanya bertumpu pada klaim bahwa kedua strategi menuntut konfigurasi sumber daya, struktur organisasi, dan budaya yang bertentangan. Cost leadership butuh kontrol biaya yang ketat, standar produk, sistem produksi yang efisien, dan budaya disiplin operasional. Differentiation butuh investasi pada kualitas, inovasi, layanan, dan budaya yang menghargai eksperimen serta responsif terhadap pelanggan. Kalau keduanya dikejar bersamaan, dalam logika Porter, organisasi akan setengah hati pada keduanya.</w:t>
      </w:r>
    </w:p>
    <w:p w14:paraId="090BDF58" w14:textId="77777777" w:rsidR="001C4599" w:rsidRPr="0075001F" w:rsidRDefault="00000000" w:rsidP="0075001F">
      <w:pPr>
        <w:pStyle w:val="BodyText"/>
        <w:jc w:val="both"/>
        <w:rPr>
          <w:rFonts w:cs="Times New Roman"/>
          <w:lang w:val="da-DK"/>
        </w:rPr>
      </w:pPr>
      <w:r w:rsidRPr="0075001F">
        <w:rPr>
          <w:rFonts w:cs="Times New Roman"/>
          <w:lang w:val="da-DK"/>
        </w:rPr>
        <w:t>Empat dekade penelitian empiris menyodok argumen tersebut dari beberapa arah. Hill (1988) memberi kritik teoretis yang tajam: argumen bahwa biaya dan diferensiasi mutually exclusive mengabaikan kenyataan bahwa diferensiasi tertentu, misalnya kualitas yang lebih tinggi, justru bisa menurunkan biaya jangka panjang lewat pengurangan tingkat cacat produk, retensi pelanggan, dan pengurangan biaya garansi. Pada industri tertentu, terutama yang memiliki struktur biaya bersifat learning-based, biaya dan diferensiasi bisa saling memperkuat.</w:t>
      </w:r>
    </w:p>
    <w:p w14:paraId="2783EF70" w14:textId="77777777" w:rsidR="001C4599" w:rsidRPr="0075001F" w:rsidRDefault="00000000" w:rsidP="0075001F">
      <w:pPr>
        <w:pStyle w:val="BodyText"/>
        <w:jc w:val="both"/>
        <w:rPr>
          <w:rFonts w:cs="Times New Roman"/>
          <w:lang w:val="da-DK"/>
        </w:rPr>
      </w:pPr>
      <w:r w:rsidRPr="0075001F">
        <w:rPr>
          <w:rFonts w:cs="Times New Roman"/>
          <w:lang w:val="da-DK"/>
        </w:rPr>
        <w:lastRenderedPageBreak/>
        <w:t>Miller (1992) dalam The Generic Strategy Trap memperluas kritik ini. Ia berargumen bahwa pada lingkungan industri yang dinamis, spesialisasi pada satu strategi generik justru bisa menjadi trap karena perusahaan kehilangan fleksibilitas untuk merespons pergeseran preferensi pelanggan dan tekanan kompetitif. Bukti empirisnya menunjukkan bahwa perusahaan yang menggabungkan elemen dari beberapa strategi generik sering punya kinerja yang lebih baik daripada yang murni mengikuti satu strategi.</w:t>
      </w:r>
    </w:p>
    <w:p w14:paraId="0B856592" w14:textId="77777777" w:rsidR="001C4599" w:rsidRPr="0075001F" w:rsidRDefault="00000000" w:rsidP="0075001F">
      <w:pPr>
        <w:pStyle w:val="BodyText"/>
        <w:jc w:val="both"/>
        <w:rPr>
          <w:rFonts w:cs="Times New Roman"/>
          <w:lang w:val="da-DK"/>
        </w:rPr>
      </w:pPr>
      <w:r w:rsidRPr="0075001F">
        <w:rPr>
          <w:rFonts w:cs="Times New Roman"/>
          <w:lang w:val="da-DK"/>
        </w:rPr>
        <w:t>Yang menjadi titik balik adalah meta-analisis Campbell-Hunt (2000) atas 17 studi empiris. Temuan utamanya: bukti empiris atas argumen strategic purity Porter tidak konsisten, dan sebagian besar studi justru menunjukkan bahwa kombinasi strategi sering menghasilkan kinerja yang lebih baik daripada strategi murni. Salavou (2015, hlm. 85) mengutip meta-analisis ini sebagai pembelokan literatur strategi: setelah 2000, fokus penelitian bergeser dari menguji purity ke memetakan tipologi hybrid.</w:t>
      </w:r>
    </w:p>
    <w:p w14:paraId="17964944" w14:textId="77777777" w:rsidR="001C4599" w:rsidRPr="0075001F" w:rsidRDefault="00000000" w:rsidP="0075001F">
      <w:pPr>
        <w:pStyle w:val="BodyText"/>
        <w:jc w:val="both"/>
        <w:rPr>
          <w:rFonts w:cs="Times New Roman"/>
          <w:lang w:val="da-DK"/>
        </w:rPr>
      </w:pPr>
      <w:r w:rsidRPr="0075001F">
        <w:rPr>
          <w:rFonts w:cs="Times New Roman"/>
          <w:lang w:val="da-DK"/>
        </w:rPr>
        <w:t>Pengakuan atas batas argumen stuck in the middle bukan berarti Porter dibatalkan sepenuhnya. Salavou (2015) mencatat bahwa stuck in the middle tetap nyata sebagai kondisi. Bedanya, ia bukan konsekuensi otomatis dari mengejar kombinasi strategi, melainkan konsekuensi dari ketidakmampuan organisasi untuk membangun konfigurasi yang koheren bagi kombinasi yang dipilih. Dalam pembacaan ini, stuck in the middle adalah simptom dari eksekusi yang gagal, bukan dari pilihan strategis yang salah.</w:t>
      </w:r>
    </w:p>
    <w:p w14:paraId="7B856428" w14:textId="77777777" w:rsidR="001C4599" w:rsidRPr="0075001F" w:rsidRDefault="00000000" w:rsidP="0075001F">
      <w:pPr>
        <w:pStyle w:val="Heading2"/>
        <w:jc w:val="both"/>
        <w:rPr>
          <w:rFonts w:ascii="Times New Roman" w:hAnsi="Times New Roman" w:cs="Times New Roman"/>
          <w:lang w:val="da-DK"/>
        </w:rPr>
      </w:pPr>
      <w:r w:rsidRPr="0075001F">
        <w:rPr>
          <w:rFonts w:ascii="Times New Roman" w:hAnsi="Times New Roman" w:cs="Times New Roman"/>
          <w:lang w:val="da-DK"/>
        </w:rPr>
        <w:t>5. Strategi Hybrid dan Dinamis: Respons terhadap Porter</w:t>
      </w:r>
    </w:p>
    <w:p w14:paraId="4760440C" w14:textId="77777777" w:rsidR="001C4599" w:rsidRPr="0075001F" w:rsidRDefault="00000000" w:rsidP="0075001F">
      <w:pPr>
        <w:jc w:val="both"/>
        <w:rPr>
          <w:rFonts w:cs="Times New Roman"/>
          <w:lang w:val="da-DK"/>
        </w:rPr>
      </w:pPr>
      <w:r w:rsidRPr="0075001F">
        <w:rPr>
          <w:rFonts w:cs="Times New Roman"/>
          <w:lang w:val="da-DK"/>
        </w:rPr>
        <w:t>Bagian ini menjadi jembatan substantif menuju Artikel 7 (Salavou 2015) yang akan diulas dalam critical review terpisah. Argumen besar literatur pasca-Porter adalah bahwa lingkungan kompetisi modern menuntut respons yang lebih kompleks daripada pilihan biner antara cost leadership dan differentiation.</w:t>
      </w:r>
    </w:p>
    <w:p w14:paraId="531F6164" w14:textId="77777777" w:rsidR="001C4599" w:rsidRPr="0075001F" w:rsidRDefault="00000000" w:rsidP="0075001F">
      <w:pPr>
        <w:pStyle w:val="BodyText"/>
        <w:jc w:val="both"/>
        <w:rPr>
          <w:rFonts w:cs="Times New Roman"/>
          <w:lang w:val="da-DK"/>
        </w:rPr>
      </w:pPr>
      <w:r w:rsidRPr="0075001F">
        <w:rPr>
          <w:rFonts w:cs="Times New Roman"/>
          <w:lang w:val="da-DK"/>
        </w:rPr>
        <w:t>Treacy dan Wiersema (1995) menawarkan tipologi paralel yang menjadi rujukan banyak praktisi: value disciplines, terdiri dari operational excellence, product leadership, dan customer intimacy. Walaupun struktur dasarnya berbeda dari Porter, argumennya tetap menempatkan fokus sebagai prinsip strategis. Perusahaan harus unggul pada satu disiplin dan memenuhi threshold minimum pada disiplin lainnya. Apakah Treacy dan Wiersema benar-benar menambahkan dimensi baru atau hanya mereformulasi Porter masih menjadi perdebatan; Salavou (2015) cenderung memperlakukannya sebagai paralel typologi, bukan kerangka yang sepenuhnya baru.</w:t>
      </w:r>
    </w:p>
    <w:p w14:paraId="75E81BC8" w14:textId="77777777" w:rsidR="001C4599" w:rsidRPr="0075001F" w:rsidRDefault="00000000" w:rsidP="0075001F">
      <w:pPr>
        <w:pStyle w:val="BodyText"/>
        <w:jc w:val="both"/>
        <w:rPr>
          <w:rFonts w:cs="Times New Roman"/>
          <w:lang w:val="da-DK"/>
        </w:rPr>
      </w:pPr>
      <w:r w:rsidRPr="0075001F">
        <w:rPr>
          <w:rFonts w:cs="Times New Roman"/>
          <w:lang w:val="da-DK"/>
        </w:rPr>
        <w:t xml:space="preserve">D'Aveni (1994) dalam Hypercompetition mengangkat argumen yang lebih radikal. Pada industri yang turbulen, keunggulan bersaing yang bertahan menjadi mustahil. Perusahaan </w:t>
      </w:r>
      <w:r w:rsidRPr="0075001F">
        <w:rPr>
          <w:rFonts w:cs="Times New Roman"/>
          <w:lang w:val="da-DK"/>
        </w:rPr>
        <w:lastRenderedPageBreak/>
        <w:t>harus mengantisipasi bahwa setiap keunggulan akan terkikis dengan cepat oleh imitasi atau disrupsi, dan strategi yang efektif adalah membangun urutan keunggulan sementara secara berkelanjutan. McGrath (2013) memperluas argumen ini menjadi transient advantage. Siklus hidup strategi (strategy lifecycle) menjadi lebih pendek, dan perusahaan yang berhasil adalah yang membangun kapabilitas untuk meluncurkan, memanen, dan kemudian meninggalkan strategi secara bergiliran. Salavou (2015) tidak mengutip McGrath dalam bibliografinya, dan ini menjadi salah satu keterbatasan yang patut dicatat ketika argumennya tentang pergeseran static-to-dynamic dievaluasi.</w:t>
      </w:r>
    </w:p>
    <w:p w14:paraId="647EBB6B" w14:textId="77777777" w:rsidR="001C4599" w:rsidRPr="0075001F" w:rsidRDefault="00000000" w:rsidP="0075001F">
      <w:pPr>
        <w:pStyle w:val="BodyText"/>
        <w:jc w:val="both"/>
        <w:rPr>
          <w:rFonts w:cs="Times New Roman"/>
          <w:lang w:val="da-DK"/>
        </w:rPr>
      </w:pPr>
      <w:r w:rsidRPr="0075001F">
        <w:rPr>
          <w:rFonts w:cs="Times New Roman"/>
          <w:lang w:val="da-DK"/>
        </w:rPr>
        <w:t>Brandenburger dan Nalebuff (1996) menyumbang konsep coopetition yang menjadi penting di era platform: kompetisi dan kerjasama bisa berlangsung simultan antara aktor yang sama. Google dan Apple bersaing pada mobile operating system tetapi berkolaborasi pada standar web. Samsung adalah pemasok komponen iPhone sekaligus pesaing langsung Apple di pasar smartphone. Pertanyaan yang patut didiskusikan adalah apakah coopetition menggantikan kerangka Porter atau hanya melengkapinya sebagai dimensi complementor yang sebenarnya sudah diantisipasi dalam Five Forces yang diperluas (Brandenburger dan Nalebuff sendiri menamakannya Value Net).</w:t>
      </w:r>
    </w:p>
    <w:p w14:paraId="6CE8EA22" w14:textId="77777777" w:rsidR="001C4599" w:rsidRPr="0075001F" w:rsidRDefault="00000000" w:rsidP="0075001F">
      <w:pPr>
        <w:pStyle w:val="BodyText"/>
        <w:jc w:val="both"/>
        <w:rPr>
          <w:rFonts w:cs="Times New Roman"/>
          <w:lang w:val="pt-BR"/>
        </w:rPr>
      </w:pPr>
      <w:r w:rsidRPr="0075001F">
        <w:rPr>
          <w:rFonts w:cs="Times New Roman"/>
          <w:lang w:val="pt-BR"/>
        </w:rPr>
        <w:t>Konteks Indonesia memberi ilustrasi yang relevan. Tokopedia dan Shopee secara berkala menggeser keseimbangan antara biaya dan diferensiasi di bawah tekanan platform. Fase awalnya didominasi subsidi agresif yang mendekati logika low-cost untuk akuisisi pengguna, lalu bergeser ke fokus margin dengan penekanan pada diferensiasi fitur (live commerce, social commerce, fulfillment yang lebih cepat) ketika kompetisi modal semakin terbatas. Pergeseran semacam ini menunjukkan bahwa pada industri platform, posisi strategis bukan pilihan permanen. Ia menjadi rangkaian konfigurasi hybrid yang berevolusi seiring tahap pendewasaan industri dan tekanan modal.</w:t>
      </w:r>
    </w:p>
    <w:p w14:paraId="3E6B1AA1" w14:textId="77777777" w:rsidR="001C4599" w:rsidRPr="0075001F" w:rsidRDefault="00000000" w:rsidP="0075001F">
      <w:pPr>
        <w:pStyle w:val="BodyText"/>
        <w:jc w:val="both"/>
        <w:rPr>
          <w:rFonts w:cs="Times New Roman"/>
          <w:lang w:val="pt-BR"/>
        </w:rPr>
      </w:pPr>
      <w:r w:rsidRPr="0075001F">
        <w:rPr>
          <w:rFonts w:cs="Times New Roman"/>
          <w:lang w:val="pt-BR"/>
        </w:rPr>
        <w:t>Bagi mahasiswa, ada tiga implikasi praktis dari literatur ini. Kerangka lima strategi generik tetap berguna sebagai titik referensi awal, tetapi tidak boleh diperlakukan sebagai kotak yang harus dipilih satu lalu ditutup. Eksekusi strategi hybrid menuntut konfigurasi organisasional yang lebih kompleks daripada eksekusi strategi murni, dan kegagalannya sering bukan pada pilihan melainkan pada disain organisasi. Dan di lingkungan turbulen, strategi yang dianut hari ini sebaiknya diasumsikan sebagai baseline yang akan bergeser, bukan posisi statis yang harus dipertahankan.</w:t>
      </w:r>
    </w:p>
    <w:p w14:paraId="2DE96B21" w14:textId="77777777" w:rsidR="001C4599" w:rsidRPr="0075001F" w:rsidRDefault="00000000" w:rsidP="0075001F">
      <w:pPr>
        <w:pStyle w:val="Heading2"/>
        <w:jc w:val="both"/>
        <w:rPr>
          <w:rFonts w:ascii="Times New Roman" w:hAnsi="Times New Roman" w:cs="Times New Roman"/>
          <w:lang w:val="da-DK"/>
        </w:rPr>
      </w:pPr>
      <w:r w:rsidRPr="0075001F">
        <w:rPr>
          <w:rFonts w:ascii="Times New Roman" w:hAnsi="Times New Roman" w:cs="Times New Roman"/>
          <w:lang w:val="da-DK"/>
        </w:rPr>
        <w:lastRenderedPageBreak/>
        <w:t>6. Pilihan Strategi dan Lima Kekuatan Industri</w:t>
      </w:r>
    </w:p>
    <w:p w14:paraId="6EBFA641" w14:textId="77777777" w:rsidR="001C4599" w:rsidRPr="0075001F" w:rsidRDefault="00000000" w:rsidP="0075001F">
      <w:pPr>
        <w:jc w:val="both"/>
        <w:rPr>
          <w:rFonts w:cs="Times New Roman"/>
          <w:lang w:val="da-DK"/>
        </w:rPr>
      </w:pPr>
      <w:r w:rsidRPr="0075001F">
        <w:rPr>
          <w:rFonts w:cs="Times New Roman"/>
          <w:lang w:val="da-DK"/>
        </w:rPr>
        <w:t>Pilihan strategi generik tidak terlepas dari struktur industri di mana perusahaan beroperasi. Henry (2021) menekankan bahwa kerangka five forces (Porter 1979) berfungsi sebagai diagnostik untuk mengevaluasi kapan tiap strategi generik bekerja dan kapan gagal. Bagian ini mensistematiskan interaksinya.</w:t>
      </w:r>
    </w:p>
    <w:p w14:paraId="495A0093" w14:textId="77777777" w:rsidR="001C4599" w:rsidRPr="0075001F" w:rsidRDefault="00000000" w:rsidP="0075001F">
      <w:pPr>
        <w:pStyle w:val="BodyText"/>
        <w:jc w:val="both"/>
        <w:rPr>
          <w:rFonts w:cs="Times New Roman"/>
          <w:lang w:val="da-DK"/>
        </w:rPr>
      </w:pPr>
      <w:r w:rsidRPr="0075001F">
        <w:rPr>
          <w:rFonts w:cs="Times New Roman"/>
          <w:lang w:val="da-DK"/>
        </w:rPr>
        <w:t>Low-cost provider bekerja paling baik kalau kekuatan tawar pembeli tinggi (sehingga mereka responsif terhadap harga), produk industri relatif terstandar, dan kompetisi internal cenderung pada harga. Sebaliknya, strategi ini gagal kalau produk industri sulit distandarkan, switching cost pelanggan tinggi, dan basis pelanggan menghargai diferensiasi. Industri komoditas seperti baja batang, semen, dan tepung terigu memberi kondisi yang menguntungkan; industri jasa profesional dan barang mewah cenderung memberi kondisi yang menyulitkan.</w:t>
      </w:r>
    </w:p>
    <w:p w14:paraId="1CD4F613" w14:textId="77777777" w:rsidR="001C4599" w:rsidRPr="0075001F" w:rsidRDefault="00000000" w:rsidP="0075001F">
      <w:pPr>
        <w:pStyle w:val="BodyText"/>
        <w:jc w:val="both"/>
        <w:rPr>
          <w:rFonts w:cs="Times New Roman"/>
          <w:lang w:val="da-DK"/>
        </w:rPr>
      </w:pPr>
      <w:r w:rsidRPr="0075001F">
        <w:rPr>
          <w:rFonts w:cs="Times New Roman"/>
          <w:lang w:val="da-DK"/>
        </w:rPr>
        <w:t>Broad differentiation bekerja paling baik kalau preferensi pelanggan beragam, persepsi kualitas dapat dikomunikasikan dengan meyakinkan, dan biaya alih pelanggan moderat hingga tinggi. Strategi ini gagal kalau basis pelanggan menjadi homogen di sekitar harga, kalau atribut diferensiasi mudah ditiru, atau kalau substitusi dari industri lain menggerus daya tawar produk industri. Industri fast-moving consumer goods (FMCG) dengan loyalitas merek yang kuat menjadi ladang yang subur; industri commodity SaaS justru memberi tantangan struktural yang serius.</w:t>
      </w:r>
    </w:p>
    <w:p w14:paraId="30F0F53E" w14:textId="77777777" w:rsidR="001C4599" w:rsidRPr="0075001F" w:rsidRDefault="00000000" w:rsidP="0075001F">
      <w:pPr>
        <w:pStyle w:val="BodyText"/>
        <w:jc w:val="both"/>
        <w:rPr>
          <w:rFonts w:cs="Times New Roman"/>
          <w:lang w:val="da-DK"/>
        </w:rPr>
      </w:pPr>
      <w:r w:rsidRPr="0075001F">
        <w:rPr>
          <w:rFonts w:cs="Times New Roman"/>
          <w:lang w:val="da-DK"/>
        </w:rPr>
        <w:t>Strategi focused, baik low-cost maupun differentiation, bekerja paling baik kalau segmen yang dipilih punya kebutuhan yang berbeda secara meaningful dari pasar luas, dan kalau pemain pasar luas tidak menemukan ekonomis untuk menyalip segmen itu. Strategi ini gagal kalau perbedaan kebutuhan segmen menyusut, kalau pemain besar membangun kapabilitas untuk melayani segmen tanpa kompromi pada bisnis utamanya, atau kalau segmen menjadi terlalu kecil untuk mendukung skala minimum.</w:t>
      </w:r>
    </w:p>
    <w:p w14:paraId="26FD2A29" w14:textId="77777777" w:rsidR="001C4599" w:rsidRPr="0075001F" w:rsidRDefault="00000000" w:rsidP="0075001F">
      <w:pPr>
        <w:pStyle w:val="BodyText"/>
        <w:jc w:val="both"/>
        <w:rPr>
          <w:rFonts w:cs="Times New Roman"/>
          <w:lang w:val="da-DK"/>
        </w:rPr>
      </w:pPr>
      <w:r w:rsidRPr="0075001F">
        <w:rPr>
          <w:rFonts w:cs="Times New Roman"/>
          <w:lang w:val="da-DK"/>
        </w:rPr>
        <w:t>Best-cost provider bekerja paling baik kalau basis pelanggan menghargai kualitas tertentu tetapi tidak bersedia membayar premium penuh dari broad differentiation. Strategi ini paling rentan ditekan dari dua arah sekaligus. Pemain low-cost murni dapat menggerusnya dari sisi harga, sementara pemain broad differentiation dapat menggerusnya dari sisi nilai. Karena itu eksekusi best-cost provider yang berhasil hampir selalu menuntut kombinasi skala (untuk efisiensi biaya) dengan kemampuan operasional yang kuat (untuk konsistensi atribut diferensiasi).</w:t>
      </w:r>
    </w:p>
    <w:p w14:paraId="59472A2E" w14:textId="77777777" w:rsidR="001C4599" w:rsidRPr="0075001F" w:rsidRDefault="00000000" w:rsidP="0075001F">
      <w:pPr>
        <w:pStyle w:val="BodyText"/>
        <w:jc w:val="both"/>
        <w:rPr>
          <w:rFonts w:cs="Times New Roman"/>
          <w:lang w:val="da-DK"/>
        </w:rPr>
      </w:pPr>
      <w:r w:rsidRPr="0075001F">
        <w:rPr>
          <w:rFonts w:cs="Times New Roman"/>
          <w:lang w:val="fi-FI"/>
        </w:rPr>
        <w:lastRenderedPageBreak/>
        <w:t xml:space="preserve">Dua kasus Indonesia memperjelas interaksi pilihan strategi dengan lima kekuatan industri. Gojek dan Grab membentuk duopoli multi-sided platform di mana pilihan strategi keduanya dibentuk oleh tekanan kompetisi internal yang ekstrem dan kekuatan tawar driver maupun merchant yang signifikan. Keduanya menggabungkan elemen low-cost (subsidi tarif untuk pengguna) dengan elemen diferensiasi (ekosistem layanan terintegrasi mulai dari transportasi, logistik, hingga finansial), sebagai respons atas struktur industri yang menuntut skala dan keragaman layanan secara bersamaan. Sementara itu, persaingan Indofood dengan Wings Group pada kategori mie instan dan kopi instan dibentuk oleh dua kekuatan struktural sekaligus: kekuatan tawar pembeli melalui modern trade (Indomaret, Alfamart, supermarket) yang menekan margin produsen, dan tekanan substitusi dari kategori ready-to-eat dan ready-to-drink yang tumbuh cepat. </w:t>
      </w:r>
      <w:r w:rsidRPr="0075001F">
        <w:rPr>
          <w:rFonts w:cs="Times New Roman"/>
          <w:lang w:val="da-DK"/>
        </w:rPr>
        <w:t>Kedua produsen menjawab dengan posisi yang berbeda dalam matriks Porter. Indofood memilih broad differentiation yang ditopang merek dan jaringan distribusi yang kuat. Wings Group mengambil posisi yang lebih dekat ke best-cost provider dengan harga yang lebih terjangkau pada kualitas yang setara.</w:t>
      </w:r>
    </w:p>
    <w:p w14:paraId="1A2A04E6" w14:textId="77777777" w:rsidR="001C4599" w:rsidRPr="0075001F" w:rsidRDefault="00000000" w:rsidP="0075001F">
      <w:pPr>
        <w:pStyle w:val="BodyText"/>
        <w:jc w:val="both"/>
        <w:rPr>
          <w:rFonts w:cs="Times New Roman"/>
          <w:lang w:val="da-DK"/>
        </w:rPr>
      </w:pPr>
      <w:r w:rsidRPr="0075001F">
        <w:rPr>
          <w:rFonts w:cs="Times New Roman"/>
          <w:lang w:val="da-DK"/>
        </w:rPr>
        <w:t>Integrasi dengan analisis Pertemuan 3 ini mempertegas bahwa pilihan strategi generik bukan keputusan internal yang bisa diambil terlepas dari struktur industri. Mengabaikan struktur akan menghasilkan strategi yang secara internal koheren tetapi secara eksternal tidak fit dengan realitas kompetitif.</w:t>
      </w:r>
    </w:p>
    <w:p w14:paraId="590AAB64" w14:textId="77777777" w:rsidR="001C4599" w:rsidRPr="0075001F" w:rsidRDefault="00000000" w:rsidP="0075001F">
      <w:pPr>
        <w:pStyle w:val="Heading2"/>
        <w:jc w:val="both"/>
        <w:rPr>
          <w:rFonts w:ascii="Times New Roman" w:hAnsi="Times New Roman" w:cs="Times New Roman"/>
          <w:lang w:val="da-DK"/>
        </w:rPr>
      </w:pPr>
      <w:r w:rsidRPr="0075001F">
        <w:rPr>
          <w:rFonts w:ascii="Times New Roman" w:hAnsi="Times New Roman" w:cs="Times New Roman"/>
          <w:lang w:val="da-DK"/>
        </w:rPr>
        <w:t>7. Analisis Pesaing sebagai Prasyarat Pilihan Strategis</w:t>
      </w:r>
    </w:p>
    <w:p w14:paraId="095E123E" w14:textId="77777777" w:rsidR="001C4599" w:rsidRPr="0075001F" w:rsidRDefault="00000000" w:rsidP="0075001F">
      <w:pPr>
        <w:jc w:val="both"/>
        <w:rPr>
          <w:rFonts w:cs="Times New Roman"/>
          <w:lang w:val="da-DK"/>
        </w:rPr>
      </w:pPr>
      <w:r w:rsidRPr="0075001F">
        <w:rPr>
          <w:rFonts w:cs="Times New Roman"/>
          <w:lang w:val="da-DK"/>
        </w:rPr>
        <w:t>Bagian ini menjadi jembatan menuju Artikel 8 (Adom, Nyarko &amp; Som 2016) yang akan diulas terpisah. Argumen besarnya adalah bahwa pilihan strategi generik mensyaratkan pemahaman yang akurat tentang pesaing-pesaing di dalam industri.</w:t>
      </w:r>
    </w:p>
    <w:p w14:paraId="78EE921D" w14:textId="77777777" w:rsidR="001C4599" w:rsidRPr="0075001F" w:rsidRDefault="00000000" w:rsidP="0075001F">
      <w:pPr>
        <w:pStyle w:val="BodyText"/>
        <w:jc w:val="both"/>
        <w:rPr>
          <w:rFonts w:cs="Times New Roman"/>
          <w:lang w:val="da-DK"/>
        </w:rPr>
      </w:pPr>
      <w:r w:rsidRPr="0075001F">
        <w:rPr>
          <w:rFonts w:cs="Times New Roman"/>
          <w:lang w:val="da-DK"/>
        </w:rPr>
        <w:t>Porter (1980) Bab 3 Competitive Strategy menawarkan kerangka empat sel untuk analisis pesaing: future goals (apa yang ingin dicapai pesaing dalam jangka menengah), current strategy (strategi yang sedang dijalankan), assumptions (asumsi pesaing tentang industri dan dirinya sendiri), dan capabilities (kapabilitas yang dimiliki). Empat sel ini bekerja sebagai diagnostik yang lengkap karena mengintegrasikan dimensi sekarang (current strategy, capabilities) dengan dimensi yang membentuk respons di masa depan (future goals, assumptions).</w:t>
      </w:r>
    </w:p>
    <w:p w14:paraId="73684836" w14:textId="77777777" w:rsidR="001C4599" w:rsidRPr="0075001F" w:rsidRDefault="00000000" w:rsidP="0075001F">
      <w:pPr>
        <w:pStyle w:val="BodyText"/>
        <w:jc w:val="both"/>
        <w:rPr>
          <w:rFonts w:cs="Times New Roman"/>
        </w:rPr>
      </w:pPr>
      <w:r w:rsidRPr="0075001F">
        <w:rPr>
          <w:rFonts w:cs="Times New Roman"/>
        </w:rPr>
        <w:t xml:space="preserve">Sel assumptions adalah yang paling sulit dipenuhi dan, ironisnya, paling bernilai. Sebagian besar manajer bisa mengumpulkan informasi tentang strategi yang sedang dijalankan pesaing, lewat laporan tahunan, pengumuman publik, atau pemberitaan. Sebagian bisa memetakan kapabilitas pesaing lewat analisis produk, pengamatan operasi, atau </w:t>
      </w:r>
      <w:r w:rsidRPr="0075001F">
        <w:rPr>
          <w:rFonts w:cs="Times New Roman"/>
        </w:rPr>
        <w:lastRenderedPageBreak/>
        <w:t>benchmarking. Sebagian yang lebih kecil bisa menebak tujuan jangka menengah pesaing dari pernyataan publik manajemen dan alokasi modal. Tetapi memetakan asumsi pesaing tentang dirinya dan industrinya butuh empati strategis yang langka. Padahal sel inilah yang membuka prediksi respons. Bagaimana pesaing akan bereaksi terhadap langkah strategis kita sangat bergantung pada apa yang mereka asumsikan tentang situasi.</w:t>
      </w:r>
    </w:p>
    <w:p w14:paraId="02A72C31" w14:textId="77777777" w:rsidR="001C4599" w:rsidRPr="0075001F" w:rsidRDefault="00000000" w:rsidP="0075001F">
      <w:pPr>
        <w:pStyle w:val="BodyText"/>
        <w:jc w:val="both"/>
        <w:rPr>
          <w:rFonts w:cs="Times New Roman"/>
          <w:lang w:val="da-DK"/>
        </w:rPr>
      </w:pPr>
      <w:r w:rsidRPr="0075001F">
        <w:rPr>
          <w:rFonts w:cs="Times New Roman"/>
        </w:rPr>
        <w:t xml:space="preserve">Porac dan Thomas (1990) memperluas analisis pesaing dengan konsep strategic groups dan managerial cognition. Argumennya, manajer membentuk cognitive maps tentang siapa pesaingnya dan bagaimana mereka beroperasi, dan peta ini sering tidak sepenuhnya sesuai dengan realitas industri yang lebih luas. Sebuah strategic group terbentuk ketika beberapa perusahaan punya kombinasi strategi yang serupa. </w:t>
      </w:r>
      <w:r w:rsidRPr="0075001F">
        <w:rPr>
          <w:rFonts w:cs="Times New Roman"/>
          <w:lang w:val="da-DK"/>
        </w:rPr>
        <w:t>Manajer cenderung memperhatikan pesaing dalam grup yang sama dan mengabaikan yang di luar. Akibatnya, perubahan strategis yang berasal dari luar strategic group sering luput dari radar.</w:t>
      </w:r>
    </w:p>
    <w:p w14:paraId="62570EEB" w14:textId="77777777" w:rsidR="001C4599" w:rsidRPr="0075001F" w:rsidRDefault="00000000" w:rsidP="0075001F">
      <w:pPr>
        <w:pStyle w:val="BodyText"/>
        <w:jc w:val="both"/>
        <w:rPr>
          <w:rFonts w:cs="Times New Roman"/>
        </w:rPr>
      </w:pPr>
      <w:r w:rsidRPr="0075001F">
        <w:rPr>
          <w:rFonts w:cs="Times New Roman"/>
        </w:rPr>
        <w:t>Zajac dan Bazerman (1991) lewat Blind Spots in Industry and Competitor Analysis menambahkan kritik kognitif yang penting. Manajer secara sistematis salah membaca pesaing karena tiga bias: overconfidence dalam analisisnya sendiri, illusion of control yang membuat mereka menganggap respons pesaing dapat dikendalikan, dan neglect of competitor reasoning, yaitu kegagalan untuk mempertimbangkan bahwa pesaing punya proses penalaran strategis yang berbeda. Reger dan Huff (1993) memperdalam ini dengan studi empiris yang menunjukkan bahwa peta kompetitif yang dibentuk manajer sering terlalu sempit dan menutup mata terhadap ancaman yang berasal dari luar peta tersebut.</w:t>
      </w:r>
    </w:p>
    <w:p w14:paraId="40E43347" w14:textId="77777777" w:rsidR="001C4599" w:rsidRPr="0075001F" w:rsidRDefault="00000000" w:rsidP="0075001F">
      <w:pPr>
        <w:pStyle w:val="BodyText"/>
        <w:jc w:val="both"/>
        <w:rPr>
          <w:rFonts w:cs="Times New Roman"/>
        </w:rPr>
      </w:pPr>
      <w:r w:rsidRPr="0075001F">
        <w:rPr>
          <w:rFonts w:cs="Times New Roman"/>
        </w:rPr>
        <w:t>Implikasi penting dari literatur kognitif ini adalah bahwa kelemahan analisis pesaing kontemporer sebenarnya bukan terutama pada kekurangan data (yang menjadi fokus Adom et al. 2016), melainkan pada bias dalam interpretasi data. Di era big data, perusahaan tidak kekurangan informasi tentang pesaing. Yang sulit adalah membaca informasi itu tanpa perangkap kognitif. Pertemuan ini menyiapkan mahasiswa untuk membaca Adom et al. dengan kritis: argumen mereka tentang nilai competitor analysis benar, tetapi mereka tidak cukup mendalami pertanyaan yang lebih penting yaitu kenapa competitor analysis sering gagal meskipun datanya tersedia.</w:t>
      </w:r>
    </w:p>
    <w:p w14:paraId="0D8FF679" w14:textId="77777777" w:rsidR="001C4599" w:rsidRPr="0075001F" w:rsidRDefault="00000000" w:rsidP="0075001F">
      <w:pPr>
        <w:pStyle w:val="Heading2"/>
        <w:jc w:val="both"/>
        <w:rPr>
          <w:rFonts w:ascii="Times New Roman" w:hAnsi="Times New Roman" w:cs="Times New Roman"/>
          <w:lang w:val="fi-FI"/>
        </w:rPr>
      </w:pPr>
      <w:r w:rsidRPr="0075001F">
        <w:rPr>
          <w:rFonts w:ascii="Times New Roman" w:hAnsi="Times New Roman" w:cs="Times New Roman"/>
          <w:lang w:val="fi-FI"/>
        </w:rPr>
        <w:t>8. Risiko dan Jebakan pada Tahap Eksekusi</w:t>
      </w:r>
    </w:p>
    <w:p w14:paraId="66EF44F7" w14:textId="77777777" w:rsidR="001C4599" w:rsidRPr="0075001F" w:rsidRDefault="00000000" w:rsidP="0075001F">
      <w:pPr>
        <w:jc w:val="both"/>
        <w:rPr>
          <w:rFonts w:cs="Times New Roman"/>
          <w:lang w:val="fi-FI"/>
        </w:rPr>
      </w:pPr>
      <w:r w:rsidRPr="0075001F">
        <w:rPr>
          <w:rFonts w:cs="Times New Roman"/>
          <w:lang w:val="da-DK"/>
        </w:rPr>
        <w:t xml:space="preserve">Memilih strategi generik adalah satu hal. </w:t>
      </w:r>
      <w:r w:rsidRPr="0075001F">
        <w:rPr>
          <w:rFonts w:cs="Times New Roman"/>
          <w:lang w:val="fi-FI"/>
        </w:rPr>
        <w:t>Menjalankannya secara konsisten selama bertahun-tahun adalah hal yang lain. Bagian ini mengangkat risiko-risiko sistemik yang muncul pada fase eksekusi.</w:t>
      </w:r>
    </w:p>
    <w:p w14:paraId="04359CBD" w14:textId="77777777" w:rsidR="001C4599" w:rsidRPr="0075001F" w:rsidRDefault="00000000" w:rsidP="0075001F">
      <w:pPr>
        <w:pStyle w:val="BodyText"/>
        <w:jc w:val="both"/>
        <w:rPr>
          <w:rFonts w:cs="Times New Roman"/>
          <w:lang w:val="fi-FI"/>
        </w:rPr>
      </w:pPr>
      <w:r w:rsidRPr="0075001F">
        <w:rPr>
          <w:rFonts w:cs="Times New Roman"/>
          <w:lang w:val="fi-FI"/>
        </w:rPr>
        <w:lastRenderedPageBreak/>
        <w:t>Strategy decay mengacu pada erosi bertahap kekuatan strategi karena kombinasi imitasi pesaing, perubahan teknologi, dan pergeseran preferensi pelanggan. Strategi low-cost yang dibangun di atas skala produksi yang efisien bisa terkikis kalau teknologi produksi baru menurunkan minimum efficient scale dan memungkinkan pesaing kecil masuk dengan biaya yang setara. Strategi differentiation yang dibangun di atas merek dan kualitas bisa terkikis kalau pesaing membangun merek dan kualitas yang setara, lalu menggerus dengan harga yang lebih rendah.</w:t>
      </w:r>
    </w:p>
    <w:p w14:paraId="17CAAC72" w14:textId="77777777" w:rsidR="001C4599" w:rsidRPr="0075001F" w:rsidRDefault="00000000" w:rsidP="0075001F">
      <w:pPr>
        <w:pStyle w:val="BodyText"/>
        <w:jc w:val="both"/>
        <w:rPr>
          <w:rFonts w:cs="Times New Roman"/>
          <w:lang w:val="fi-FI"/>
        </w:rPr>
      </w:pPr>
      <w:r w:rsidRPr="0075001F">
        <w:rPr>
          <w:rFonts w:cs="Times New Roman"/>
          <w:lang w:val="fi-FI"/>
        </w:rPr>
        <w:t>Imitasi cepat menjadi semakin signifikan di era digital. McGrath (2013) berargumen bahwa siklus hidup strategi telah menyusut dari belasan tahun pada era industri menjadi tiga sampai lima tahun pada banyak industri kontemporer. Akibatnya, perusahaan yang membangun strategi dengan asumsi durasi panjang akan kaget ketika imitasi datang lebih cepat. Strategi yang sustainable di era ini bukan strategi yang kebal imitasi, melainkan strategi yang dirancang untuk berevolusi sebelum imitasi menjadi tekanan dominan.</w:t>
      </w:r>
    </w:p>
    <w:p w14:paraId="55464437" w14:textId="77777777" w:rsidR="001C4599" w:rsidRPr="0075001F" w:rsidRDefault="00000000" w:rsidP="0075001F">
      <w:pPr>
        <w:pStyle w:val="BodyText"/>
        <w:jc w:val="both"/>
        <w:rPr>
          <w:rFonts w:cs="Times New Roman"/>
          <w:lang w:val="fi-FI"/>
        </w:rPr>
      </w:pPr>
      <w:r w:rsidRPr="0075001F">
        <w:rPr>
          <w:rFonts w:cs="Times New Roman"/>
          <w:lang w:val="fi-FI"/>
        </w:rPr>
        <w:t>Strategic drift (Johnson 1988) adalah risiko yang paling berbahaya karena bersifat gradual. Drift terjadi ketika perusahaan secara bertahap menyesuaikan strategi dalam langkah-langkah kecil yang masing-masing tampak rasional, tetapi secara kumulatif menjauhkan posisi strategis dari yang relevan dengan industri. Garuda Indonesia pada periode 1999-2003 adalah contoh klasik. Setiap penyesuaian dilakukan sebagai respons terhadap tekanan jangka pendek, tetapi tidak ada respons sistematis terhadap kemunculan low-cost carriers yang akhirnya menggeser struktur permintaan secara permanen. Ketika krisis akhirnya menjadi nyata pada pertengahan dekade 2000-an, pilihan strategis Garuda sudah terlanjur dipersempit oleh akumulasi drift bertahun-tahun.</w:t>
      </w:r>
    </w:p>
    <w:p w14:paraId="03B3D1AB" w14:textId="77777777" w:rsidR="001C4599" w:rsidRPr="0075001F" w:rsidRDefault="00000000" w:rsidP="0075001F">
      <w:pPr>
        <w:pStyle w:val="BodyText"/>
        <w:jc w:val="both"/>
        <w:rPr>
          <w:rFonts w:cs="Times New Roman"/>
          <w:lang w:val="fi-FI"/>
        </w:rPr>
      </w:pPr>
      <w:r w:rsidRPr="0075001F">
        <w:rPr>
          <w:rFonts w:cs="Times New Roman"/>
          <w:lang w:val="fi-FI"/>
        </w:rPr>
        <w:t>Sinyal-sinyal kapan strategi perlu di-shift biasanya cukup jelas kalau dilihat secara agregat: penurunan margin yang konsisten meskipun harga relatif stabil, hilangnya pangsa pasar pada segmen yang sebelumnya dominan, kemunculan pesaing baru dengan model bisnis yang berbeda, dan pergeseran preferensi pelanggan yang teramati lewat survei dan data perilaku. Manajemen yang melihat satu sinyal masih bisa berargumen untuk menunggu. Manajemen yang melihat tiga atau lebih sinyal yang konsisten dan tetap memilih untuk tidak bertindak biasanya sedang mengalami strategic drift yang nantinya akan terbayar mahal.</w:t>
      </w:r>
    </w:p>
    <w:p w14:paraId="247F3EE0" w14:textId="77777777" w:rsidR="001C4599" w:rsidRPr="0075001F" w:rsidRDefault="00000000" w:rsidP="0075001F">
      <w:pPr>
        <w:pStyle w:val="Heading2"/>
        <w:jc w:val="both"/>
        <w:rPr>
          <w:rFonts w:ascii="Times New Roman" w:hAnsi="Times New Roman" w:cs="Times New Roman"/>
          <w:lang w:val="da-DK"/>
        </w:rPr>
      </w:pPr>
      <w:r w:rsidRPr="0075001F">
        <w:rPr>
          <w:rFonts w:ascii="Times New Roman" w:hAnsi="Times New Roman" w:cs="Times New Roman"/>
          <w:lang w:val="da-DK"/>
        </w:rPr>
        <w:t>9. Kesimpulan</w:t>
      </w:r>
    </w:p>
    <w:p w14:paraId="409BE23B" w14:textId="77777777" w:rsidR="001C4599" w:rsidRPr="0075001F" w:rsidRDefault="00000000" w:rsidP="0075001F">
      <w:pPr>
        <w:jc w:val="both"/>
        <w:rPr>
          <w:rFonts w:cs="Times New Roman"/>
          <w:lang w:val="da-DK"/>
        </w:rPr>
      </w:pPr>
      <w:r w:rsidRPr="0075001F">
        <w:rPr>
          <w:rFonts w:cs="Times New Roman"/>
          <w:lang w:val="da-DK"/>
        </w:rPr>
        <w:t xml:space="preserve">Pilihan strategi generik bukan sekadar kategori klasifikatoris. Ia adalah komitmen organisasional yang membentuk arsitektur perusahaan untuk jangka menengah. Lima posisi yang dirumuskan oleh tradisi Porter-TPGS (low-cost provider, broad differentiation, focused </w:t>
      </w:r>
      <w:r w:rsidRPr="0075001F">
        <w:rPr>
          <w:rFonts w:cs="Times New Roman"/>
          <w:lang w:val="da-DK"/>
        </w:rPr>
        <w:lastRenderedPageBreak/>
        <w:t>low-cost, focused differentiation, best-cost provider) adalah titik referensi yang berguna untuk diskusi strategis, tetapi dengan tiga kualifikasi yang penting.</w:t>
      </w:r>
    </w:p>
    <w:p w14:paraId="3742B685" w14:textId="77777777" w:rsidR="001C4599" w:rsidRPr="0075001F" w:rsidRDefault="00000000" w:rsidP="0075001F">
      <w:pPr>
        <w:pStyle w:val="BodyText"/>
        <w:jc w:val="both"/>
        <w:rPr>
          <w:rFonts w:cs="Times New Roman"/>
          <w:lang w:val="da-DK"/>
        </w:rPr>
      </w:pPr>
      <w:r w:rsidRPr="0075001F">
        <w:rPr>
          <w:rFonts w:cs="Times New Roman"/>
          <w:lang w:val="da-DK"/>
        </w:rPr>
        <w:t>Pertama, lima posisi tersebut bukan kotak yang mutually exclusive secara mutlak. Bukti empiris empat dekade terakhir, terutama meta-analisis Campbell-Hunt (2000) dan literatur hybrid yang dirangkum Salavou (2015), menunjukkan bahwa strategi hybrid yang dieksekusi dengan baik sering menghasilkan kinerja yang lebih baik daripada strategi murni. Argumen stuck in the middle tetap relevan sebagai diagnosis kegagalan eksekusi, tetapi bukan sebagai larangan a priori atas kombinasi strategi.</w:t>
      </w:r>
    </w:p>
    <w:p w14:paraId="1560D1ED" w14:textId="77777777" w:rsidR="001C4599" w:rsidRPr="0075001F" w:rsidRDefault="00000000" w:rsidP="0075001F">
      <w:pPr>
        <w:pStyle w:val="BodyText"/>
        <w:jc w:val="both"/>
        <w:rPr>
          <w:rFonts w:cs="Times New Roman"/>
          <w:lang w:val="fi-FI"/>
        </w:rPr>
      </w:pPr>
      <w:r w:rsidRPr="0075001F">
        <w:rPr>
          <w:rFonts w:cs="Times New Roman"/>
          <w:lang w:val="fi-FI"/>
        </w:rPr>
        <w:t>Kedua, lima posisi tersebut bukan posisi statis. Pada lingkungan kompetisi yang turbulen, perusahaan harus memperlakukan pilihan strategi sebagai moving baseline yang akan bergeser seiring perubahan struktur industri, teknologi, dan preferensi pelanggan. Kerangka dynamic capabilities (Teece, Pisano &amp; Shuen 1997), hypercompetition (D'Aveni 1994), dan transient advantage (McGrath 2013) menyediakan bahasa untuk memikirkan pergeseran strategis sebagai kapabilitas, bukan sebagai kegagalan.</w:t>
      </w:r>
    </w:p>
    <w:p w14:paraId="3E62411F" w14:textId="77777777" w:rsidR="001C4599" w:rsidRPr="0075001F" w:rsidRDefault="00000000" w:rsidP="0075001F">
      <w:pPr>
        <w:pStyle w:val="BodyText"/>
        <w:jc w:val="both"/>
        <w:rPr>
          <w:rFonts w:cs="Times New Roman"/>
          <w:lang w:val="fi-FI"/>
        </w:rPr>
      </w:pPr>
      <w:r w:rsidRPr="0075001F">
        <w:rPr>
          <w:rFonts w:cs="Times New Roman"/>
          <w:lang w:val="fi-FI"/>
        </w:rPr>
        <w:t>Ketiga, pilihan strategi generik mensyaratkan analisis pesaing yang disiplin, dan literatur kognitif (Zajac &amp; Bazerman 1991; Porac &amp; Thomas 1990; Reger &amp; Huff 1993) mengingatkan bahwa kelemahan utama analisis pesaing kontemporer adalah bias kognitif, bukan kekurangan data. Pemahaman ini akan menjadi kunci ketika membaca Adom et al. (2016) secara kritis pada critical review terpisah.</w:t>
      </w:r>
    </w:p>
    <w:p w14:paraId="5A691BCD" w14:textId="77777777" w:rsidR="001C4599" w:rsidRPr="0075001F" w:rsidRDefault="00000000" w:rsidP="0075001F">
      <w:pPr>
        <w:pStyle w:val="BodyText"/>
        <w:jc w:val="both"/>
        <w:rPr>
          <w:rFonts w:cs="Times New Roman"/>
          <w:lang w:val="fi-FI"/>
        </w:rPr>
      </w:pPr>
      <w:r w:rsidRPr="0075001F">
        <w:rPr>
          <w:rFonts w:cs="Times New Roman"/>
          <w:lang w:val="fi-FI"/>
        </w:rPr>
        <w:t>Integrasi dengan Pertemuan 4 (RBV) dan antisipasi terhadap Pertemuan 6 (strategi tingkat korporat) menjadikan Pertemuan 5 sebagai sentral kerangka mata kuliah. Sumber daya VRIN yang dipetakan pada Pertemuan 4 menjadi bahan baku bagi pilihan strategi generik. Pilihan strategi generik di tingkat SBU, pada gilirannya, menjadi konstrain bagi keputusan portofolio di tingkat korporat. Tanpa pemahaman yang jernih atas Pertemuan 5, diskusi pertemuan-pertemuan berikutnya akan dangkal pada level taksonomi tanpa logika ekonomis yang memadai.</w:t>
      </w:r>
    </w:p>
    <w:sectPr w:rsidR="001C4599" w:rsidRPr="0075001F" w:rsidSect="00034616">
      <w:pgSz w:w="12240" w:h="15840"/>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996B18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4912630">
    <w:abstractNumId w:val="8"/>
  </w:num>
  <w:num w:numId="2" w16cid:durableId="1845821553">
    <w:abstractNumId w:val="6"/>
  </w:num>
  <w:num w:numId="3" w16cid:durableId="1691225720">
    <w:abstractNumId w:val="5"/>
  </w:num>
  <w:num w:numId="4" w16cid:durableId="740520107">
    <w:abstractNumId w:val="4"/>
  </w:num>
  <w:num w:numId="5" w16cid:durableId="986666910">
    <w:abstractNumId w:val="7"/>
  </w:num>
  <w:num w:numId="6" w16cid:durableId="1473401372">
    <w:abstractNumId w:val="3"/>
  </w:num>
  <w:num w:numId="7" w16cid:durableId="755900613">
    <w:abstractNumId w:val="2"/>
  </w:num>
  <w:num w:numId="8" w16cid:durableId="1408725556">
    <w:abstractNumId w:val="1"/>
  </w:num>
  <w:num w:numId="9" w16cid:durableId="1231504512">
    <w:abstractNumId w:val="0"/>
  </w:num>
  <w:num w:numId="10" w16cid:durableId="3093319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91B"/>
    <w:rsid w:val="001C4599"/>
    <w:rsid w:val="0029639D"/>
    <w:rsid w:val="00326F90"/>
    <w:rsid w:val="00327590"/>
    <w:rsid w:val="00670681"/>
    <w:rsid w:val="00686C90"/>
    <w:rsid w:val="0075001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2F5873"/>
  <w15:docId w15:val="{298A8A4D-AF0F-407D-B761-FF8885B25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exact"/>
      <w:ind w:firstLine="709"/>
    </w:pPr>
    <w:rPr>
      <w:rFonts w:ascii="Times New Roman" w:hAnsi="Times New Roman"/>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4491</Words>
  <Characters>25605</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Dzaki Yusfian</cp:lastModifiedBy>
  <cp:revision>4</cp:revision>
  <dcterms:created xsi:type="dcterms:W3CDTF">2026-05-01T07:42:00Z</dcterms:created>
  <dcterms:modified xsi:type="dcterms:W3CDTF">2026-05-08T06:22:00Z</dcterms:modified>
</cp:coreProperties>
</file>