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ritical-review-artikel-1"/>
    <w:p>
      <w:pPr>
        <w:pStyle w:val="Heading1"/>
      </w:pPr>
      <w:r>
        <w:t xml:space="preserve">CRITICAL REVIEW ARTIKEL 1</w:t>
      </w:r>
    </w:p>
    <w:p>
      <w:pPr>
        <w:pStyle w:val="FirstParagraph"/>
      </w:pPr>
      <w:r>
        <w:rPr>
          <w:b/>
          <w:bCs/>
        </w:rPr>
        <w:t xml:space="preserve">Mata Kuliah:</w:t>
      </w:r>
      <w:r>
        <w:t xml:space="preserve"> </w:t>
      </w:r>
      <w:r>
        <w:t xml:space="preserve">Manajemen Strategik Kontemporer (MST304)</w:t>
      </w:r>
    </w:p>
    <w:p>
      <w:pPr>
        <w:pStyle w:val="BodyText"/>
      </w:pPr>
      <w:r>
        <w:rPr>
          <w:b/>
          <w:bCs/>
        </w:rPr>
        <w:t xml:space="preserve">Semester:</w:t>
      </w:r>
      <w:r>
        <w:t xml:space="preserve"> </w:t>
      </w:r>
      <w:r>
        <w:t xml:space="preserve">II, T.A. 2025/2026</w:t>
      </w:r>
    </w:p>
    <w:p>
      <w:pPr>
        <w:pStyle w:val="BodyText"/>
      </w:pPr>
      <w:r>
        <w:rPr>
          <w:b/>
          <w:bCs/>
        </w:rPr>
        <w:t xml:space="preserve">Nama: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identitas-artikel"/>
    <w:p>
      <w:pPr>
        <w:pStyle w:val="Heading2"/>
      </w:pPr>
      <w:r>
        <w:t xml:space="preserve">1. Identitas Artikel</w:t>
      </w:r>
    </w:p>
    <w:p>
      <w:pPr>
        <w:pStyle w:val="FirstParagraph"/>
      </w:pPr>
      <w:r>
        <w:rPr>
          <w:b/>
          <w:bCs/>
        </w:rPr>
        <w:t xml:space="preserve">Judul:</w:t>
      </w:r>
      <w:r>
        <w:t xml:space="preserve"> </w:t>
      </w:r>
      <w:r>
        <w:rPr>
          <w:i/>
          <w:iCs/>
        </w:rPr>
        <w:t xml:space="preserve">Applicable Vision, Mission and the Effects of Strategic Management on Crisis Resolve</w:t>
      </w:r>
    </w:p>
    <w:p>
      <w:pPr>
        <w:pStyle w:val="BodyText"/>
      </w:pPr>
      <w:r>
        <w:rPr>
          <w:b/>
          <w:bCs/>
        </w:rPr>
        <w:t xml:space="preserve">Penulis:</w:t>
      </w:r>
      <w:r>
        <w:t xml:space="preserve"> </w:t>
      </w:r>
      <w:r>
        <w:t xml:space="preserve">Pınar Altıok</w:t>
      </w:r>
    </w:p>
    <w:p>
      <w:pPr>
        <w:pStyle w:val="BodyText"/>
      </w:pPr>
      <w:r>
        <w:rPr>
          <w:b/>
          <w:bCs/>
        </w:rPr>
        <w:t xml:space="preserve">Institusi:</w:t>
      </w:r>
      <w:r>
        <w:t xml:space="preserve"> </w:t>
      </w:r>
      <w:r>
        <w:t xml:space="preserve">Beykent University, Business Administration Program, Istanbul, Turki</w:t>
      </w:r>
    </w:p>
    <w:p>
      <w:pPr>
        <w:pStyle w:val="BodyText"/>
      </w:pPr>
      <w:r>
        <w:rPr>
          <w:b/>
          <w:bCs/>
        </w:rPr>
        <w:t xml:space="preserve">Publikasi:</w:t>
      </w:r>
      <w:r>
        <w:t xml:space="preserve"> </w:t>
      </w:r>
      <w:r>
        <w:rPr>
          <w:i/>
          <w:iCs/>
        </w:rPr>
        <w:t xml:space="preserve">Procedia Social and Behavioral Sciences</w:t>
      </w:r>
      <w:r>
        <w:t xml:space="preserve">, Vol. 24 (2011), hlm. 61–71</w:t>
      </w:r>
    </w:p>
    <w:p>
      <w:pPr>
        <w:pStyle w:val="BodyText"/>
      </w:pPr>
      <w:r>
        <w:rPr>
          <w:b/>
          <w:bCs/>
        </w:rPr>
        <w:t xml:space="preserve">Forum:</w:t>
      </w:r>
      <w:r>
        <w:t xml:space="preserve"> </w:t>
      </w:r>
      <w:r>
        <w:t xml:space="preserve">7th International Strategic Management Conference</w:t>
      </w:r>
    </w:p>
    <w:p>
      <w:pPr>
        <w:pStyle w:val="BodyText"/>
      </w:pPr>
      <w:r>
        <w:rPr>
          <w:b/>
          <w:bCs/>
        </w:rPr>
        <w:t xml:space="preserve">Tipe Penelitian:</w:t>
      </w:r>
      <w:r>
        <w:t xml:space="preserve"> </w:t>
      </w:r>
      <w:r>
        <w:t xml:space="preserve">Artikel konseptual (</w:t>
      </w:r>
      <w:r>
        <w:rPr>
          <w:i/>
          <w:iCs/>
        </w:rPr>
        <w:t xml:space="preserve">conceptual paper</w:t>
      </w:r>
      <w:r>
        <w:t xml:space="preserve">)</w:t>
      </w:r>
    </w:p>
    <w:bookmarkEnd w:id="9"/>
    <w:bookmarkStart w:id="10" w:name="tujuan-penelitian"/>
    <w:p>
      <w:pPr>
        <w:pStyle w:val="Heading2"/>
      </w:pPr>
      <w:r>
        <w:t xml:space="preserve">2. Tujuan Penelitian</w:t>
      </w:r>
    </w:p>
    <w:p>
      <w:pPr>
        <w:pStyle w:val="FirstParagraph"/>
      </w:pPr>
      <w:r>
        <w:t xml:space="preserve">Artikel Altıok (2011) memiliki satu tujuan utama: menelaah secara konseptual bagaimana visi dan misi yang</w:t>
      </w:r>
      <w:r>
        <w:t xml:space="preserve"> </w:t>
      </w:r>
      <w:r>
        <w:rPr>
          <w:i/>
          <w:iCs/>
        </w:rPr>
        <w:t xml:space="preserve">applicable</w:t>
      </w:r>
      <w:r>
        <w:t xml:space="preserve">, dalam artian benar-benar dapat diterapkan dan dimiliki bersama, mempengaruhi kemampuan organisasi untuk bertahan dan menyelesaikan krisis. Secara implisit, artikel ini juga menjawab pertanyaan diagnostik yang relevan: mengapa banyak perusahaan yang memiliki pernyataan visi dan misi formal tetap gagal ketika menghadapi tekanan krisis yang sesungguhnya?</w:t>
      </w:r>
    </w:p>
    <w:p>
      <w:pPr>
        <w:pStyle w:val="BodyText"/>
      </w:pPr>
      <w:r>
        <w:t xml:space="preserve">Altıok berangkat dari premis bahwa dalam dunia yang makin terhubung dan</w:t>
      </w:r>
      <w:r>
        <w:t xml:space="preserve"> </w:t>
      </w:r>
      <w:r>
        <w:rPr>
          <w:i/>
          <w:iCs/>
        </w:rPr>
        <w:t xml:space="preserve">volatile</w:t>
      </w:r>
      <w:r>
        <w:t xml:space="preserve"> </w:t>
      </w:r>
      <w:r>
        <w:t xml:space="preserve">akibat globalisasi serta perkembangan teknologi informasi, krisis bukan lagi peristiwa langka melainkan komponen struktural dari dinamika bisnis modern. Oleh karena itu, kesiapan menghadapi krisis bukan lagi pilihan strategis, melainkan prasyarat kelangsungan organisasi.</w:t>
      </w:r>
    </w:p>
    <w:bookmarkEnd w:id="10"/>
    <w:bookmarkStart w:id="11" w:name="argumen-utama"/>
    <w:p>
      <w:pPr>
        <w:pStyle w:val="Heading2"/>
      </w:pPr>
      <w:r>
        <w:t xml:space="preserve">3. Argumen Utama</w:t>
      </w:r>
    </w:p>
    <w:p>
      <w:pPr>
        <w:pStyle w:val="FirstParagraph"/>
      </w:pPr>
      <w:r>
        <w:t xml:space="preserve">Altıok membangun argumennya melalui tujuh bagian yang berurutan dan saling mendukung. Inti argumennya dapat diringkas sebagai berikut: visi yang sekadar ditulis sebagai slogan, tanpa dimiliki bersama (</w:t>
      </w:r>
      <w:r>
        <w:rPr>
          <w:i/>
          <w:iCs/>
        </w:rPr>
        <w:t xml:space="preserve">shared</w:t>
      </w:r>
      <w:r>
        <w:t xml:space="preserve">), tanpa memotivasi tindakan nyata, dan tanpa memandu pengambilan keputusan di level operasional, tidak memiliki nilai strategis yang sesungguhnya. Hanya visi yang</w:t>
      </w:r>
      <w:r>
        <w:t xml:space="preserve"> </w:t>
      </w:r>
      <w:r>
        <w:rPr>
          <w:i/>
          <w:iCs/>
        </w:rPr>
        <w:t xml:space="preserve">applicable</w:t>
      </w:r>
      <w:r>
        <w:t xml:space="preserve"> </w:t>
      </w:r>
      <w:r>
        <w:t xml:space="preserve">yang mampu berfungsi sebagai kompas organisasi saat krisis, ketika tekanan eksternal dan internal memuncak secara bersamaan.</w:t>
      </w:r>
    </w:p>
    <w:p>
      <w:pPr>
        <w:pStyle w:val="BodyText"/>
      </w:pPr>
      <w:r>
        <w:t xml:space="preserve">Kontribusi utama Altıok adalah konsep</w:t>
      </w:r>
      <w:r>
        <w:t xml:space="preserve"> </w:t>
      </w:r>
      <w:r>
        <w:rPr>
          <w:i/>
          <w:iCs/>
        </w:rPr>
        <w:t xml:space="preserve">applicable vision</w:t>
      </w:r>
      <w:r>
        <w:t xml:space="preserve">, yang ia definisikan sebagai visi yang: (a) dibentuk melalui partisipasi seluruh karyawan, bukan hanya manajemen puncak; (b) menciptakan loyalitas dan motivasi yang mengarahkan seluruh anggota organisasi pada satu tujuan bersama; dan (c) cukup konkret untuk mengarahkan pengambilan keputusan di tingkat operasional.</w:t>
      </w:r>
    </w:p>
    <w:p>
      <w:pPr>
        <w:pStyle w:val="BodyText"/>
      </w:pPr>
      <w:r>
        <w:t xml:space="preserve">Altıok juga menghubungkan</w:t>
      </w:r>
      <w:r>
        <w:t xml:space="preserve"> </w:t>
      </w:r>
      <w:r>
        <w:rPr>
          <w:i/>
          <w:iCs/>
        </w:rPr>
        <w:t xml:space="preserve">applicable vision</w:t>
      </w:r>
      <w:r>
        <w:t xml:space="preserve"> </w:t>
      </w:r>
      <w:r>
        <w:t xml:space="preserve">dengan dua konsep pendukung yang penting. Pertama, konsep</w:t>
      </w:r>
      <w:r>
        <w:t xml:space="preserve"> </w:t>
      </w:r>
      <w:r>
        <w:rPr>
          <w:i/>
          <w:iCs/>
        </w:rPr>
        <w:t xml:space="preserve">learning organization</w:t>
      </w:r>
      <w:r>
        <w:t xml:space="preserve"> </w:t>
      </w:r>
      <w:r>
        <w:t xml:space="preserve">dari Peter Senge, di mana visi yang</w:t>
      </w:r>
      <w:r>
        <w:t xml:space="preserve"> </w:t>
      </w:r>
      <w:r>
        <w:rPr>
          <w:i/>
          <w:iCs/>
        </w:rPr>
        <w:t xml:space="preserve">applicable</w:t>
      </w:r>
      <w:r>
        <w:t xml:space="preserve"> </w:t>
      </w:r>
      <w:r>
        <w:t xml:space="preserve">menjadi prasyarat pembelajaran kolektif karena pembelajaran membutuhkan arah yang disepakati bersama. Kedua,</w:t>
      </w:r>
      <w:r>
        <w:t xml:space="preserve"> </w:t>
      </w:r>
      <w:r>
        <w:rPr>
          <w:i/>
          <w:iCs/>
        </w:rPr>
        <w:t xml:space="preserve">transformational leadership</w:t>
      </w:r>
      <w:r>
        <w:t xml:space="preserve">, di mana pemimpin transformasional berperan sebagai agen yang tidak hanya memformulasikan visi, tetapi juga mengajak seluruh anggota organisasi untuk sungguh-sungguh memilikinya.</w:t>
      </w:r>
    </w:p>
    <w:bookmarkEnd w:id="11"/>
    <w:bookmarkStart w:id="12" w:name="X26b06a95bc037bdb6c80280b9ca3e79c638d3b5"/>
    <w:p>
      <w:pPr>
        <w:pStyle w:val="Heading2"/>
      </w:pPr>
      <w:r>
        <w:t xml:space="preserve">4. Koneksi ke Topik Silabus (Pertemuan 2 — TPGS Ch.2)</w:t>
      </w:r>
    </w:p>
    <w:p>
      <w:pPr>
        <w:pStyle w:val="FirstParagraph"/>
      </w:pPr>
      <w:r>
        <w:t xml:space="preserve">Artikel Altıok terhubung langsung dengan Tahap 1 proses manajerial dalam TPGS Ch.2, yakni pengembangan visi strategis. TPGS sendiri menetapkan tujuh kriteria visi yang efektif, termasuk</w:t>
      </w:r>
      <w:r>
        <w:t xml:space="preserve"> </w:t>
      </w:r>
      <w:r>
        <w:rPr>
          <w:i/>
          <w:iCs/>
        </w:rPr>
        <w:t xml:space="preserve">feasible</w:t>
      </w:r>
      <w:r>
        <w:t xml:space="preserve"> </w:t>
      </w:r>
      <w:r>
        <w:t xml:space="preserve">dan</w:t>
      </w:r>
      <w:r>
        <w:t xml:space="preserve"> </w:t>
      </w:r>
      <w:r>
        <w:rPr>
          <w:i/>
          <w:iCs/>
        </w:rPr>
        <w:t xml:space="preserve">desirable</w:t>
      </w:r>
      <w:r>
        <w:t xml:space="preserve">. Altıok menambahkan dimensi yang lebih dalam: visi tidak hanya harus layak dan menarik, tetapi harus benar-benar</w:t>
      </w:r>
      <w:r>
        <w:t xml:space="preserve"> </w:t>
      </w:r>
      <w:r>
        <w:rPr>
          <w:i/>
          <w:iCs/>
        </w:rPr>
        <w:t xml:space="preserve">dimiliki</w:t>
      </w:r>
      <w:r>
        <w:t xml:space="preserve"> </w:t>
      </w:r>
      <w:r>
        <w:t xml:space="preserve">oleh seluruh organisasi, bukan sekadar ditetapkan oleh puncak hierarki.</w:t>
      </w:r>
    </w:p>
    <w:p>
      <w:pPr>
        <w:pStyle w:val="BodyText"/>
      </w:pPr>
      <w:r>
        <w:t xml:space="preserve">Di sini Altıok melengkapi perspektif TPGS yang cenderung normatif, yaitu apa yang</w:t>
      </w:r>
      <w:r>
        <w:t xml:space="preserve"> </w:t>
      </w:r>
      <w:r>
        <w:rPr>
          <w:i/>
          <w:iCs/>
        </w:rPr>
        <w:t xml:space="preserve">seharusnya</w:t>
      </w:r>
      <w:r>
        <w:t xml:space="preserve"> </w:t>
      </w:r>
      <w:r>
        <w:t xml:space="preserve">ada dalam sebuah visi yang baik, dengan perspektif proses, yakni bagaimana visi itu seharusnya</w:t>
      </w:r>
      <w:r>
        <w:t xml:space="preserve"> </w:t>
      </w:r>
      <w:r>
        <w:rPr>
          <w:i/>
          <w:iCs/>
        </w:rPr>
        <w:t xml:space="preserve">dikonstruksi</w:t>
      </w:r>
      <w:r>
        <w:t xml:space="preserve"> </w:t>
      </w:r>
      <w:r>
        <w:t xml:space="preserve">agar memiliki kekuatan selama krisis. Dengan demikian, artikel ini memperkaya pemahaman Tahap 1 tanpa bertentangan dengan kerangka yang telah dibangun TPGS.</w:t>
      </w:r>
    </w:p>
    <w:p>
      <w:pPr>
        <w:pStyle w:val="BodyText"/>
      </w:pPr>
      <w:r>
        <w:t xml:space="preserve">Dalam konteks</w:t>
      </w:r>
      <w:r>
        <w:t xml:space="preserve"> </w:t>
      </w:r>
      <w:r>
        <w:rPr>
          <w:i/>
          <w:iCs/>
        </w:rPr>
        <w:t xml:space="preserve">corporate governance</w:t>
      </w:r>
      <w:r>
        <w:t xml:space="preserve"> </w:t>
      </w:r>
      <w:r>
        <w:t xml:space="preserve">yang juga dibahas di TPGS Ch.2,</w:t>
      </w:r>
      <w:r>
        <w:t xml:space="preserve"> </w:t>
      </w:r>
      <w:r>
        <w:rPr>
          <w:i/>
          <w:iCs/>
        </w:rPr>
        <w:t xml:space="preserve">applicable vision</w:t>
      </w:r>
      <w:r>
        <w:t xml:space="preserve"> </w:t>
      </w:r>
      <w:r>
        <w:t xml:space="preserve">memiliki implikasi langsung. Dewan komisaris dan manajemen yang tidak dapat mengartikulasikan visi perusahaan secara konsisten dan koheren kepada semua lapisan organisasi sesungguhnya sedang mengekspos organisasi pada risiko krisis tata kelola yang lebih dalam dari yang terlihat di permukaan.</w:t>
      </w:r>
    </w:p>
    <w:bookmarkEnd w:id="12"/>
    <w:bookmarkStart w:id="13" w:name="kekuatan-artikel"/>
    <w:p>
      <w:pPr>
        <w:pStyle w:val="Heading2"/>
      </w:pPr>
      <w:r>
        <w:t xml:space="preserve">5. Kekuatan Artikel</w:t>
      </w:r>
    </w:p>
    <w:p>
      <w:pPr>
        <w:pStyle w:val="FirstParagraph"/>
      </w:pPr>
      <w:r>
        <w:rPr>
          <w:b/>
          <w:bCs/>
        </w:rPr>
        <w:t xml:space="preserve">Pertama, kejelasan dan sistematika argumen.</w:t>
      </w:r>
      <w:r>
        <w:t xml:space="preserve"> </w:t>
      </w:r>
      <w:r>
        <w:t xml:space="preserve">Altıok menyusun argumennya secara logis dan berurutan, membawa pembaca dari premis (dunia makin</w:t>
      </w:r>
      <w:r>
        <w:t xml:space="preserve"> </w:t>
      </w:r>
      <w:r>
        <w:rPr>
          <w:i/>
          <w:iCs/>
        </w:rPr>
        <w:t xml:space="preserve">volatile</w:t>
      </w:r>
      <w:r>
        <w:t xml:space="preserve">) ke diagnosis (banyak visi tidak</w:t>
      </w:r>
      <w:r>
        <w:t xml:space="preserve"> </w:t>
      </w:r>
      <w:r>
        <w:rPr>
          <w:i/>
          <w:iCs/>
        </w:rPr>
        <w:t xml:space="preserve">applicable</w:t>
      </w:r>
      <w:r>
        <w:t xml:space="preserve">) hingga ke rekomendasi (</w:t>
      </w:r>
      <w:r>
        <w:rPr>
          <w:i/>
          <w:iCs/>
        </w:rPr>
        <w:t xml:space="preserve">applicable vision</w:t>
      </w:r>
      <w:r>
        <w:t xml:space="preserve"> </w:t>
      </w:r>
      <w:r>
        <w:t xml:space="preserve">sebagai kapabilitas krisis). Alur ini memudahkan pembaca memahami posisi teoretis penulis tanpa harus bergulat dengan terminologi yang terlalu teknis.</w:t>
      </w:r>
    </w:p>
    <w:p>
      <w:pPr>
        <w:pStyle w:val="BodyText"/>
      </w:pPr>
      <w:r>
        <w:rPr>
          <w:b/>
          <w:bCs/>
        </w:rPr>
        <w:t xml:space="preserve">Kedua, jembatan antara dua tradisi literatur.</w:t>
      </w:r>
      <w:r>
        <w:t xml:space="preserve"> </w:t>
      </w:r>
      <w:r>
        <w:t xml:space="preserve">Altıok berhasil mengintegrasikan literatur manajemen strategis, yang diwakili oleh Thompson &amp; Strickland dan Wheelen &amp; Hunger, dengan literatur manajemen krisis yang diwakili oleh Augustine dan Pauchant, dalam satu kerangka konseptual yang koheren. Kontribusi ini tidak trivial karena dua tradisi tersebut jarang disintesiskan secara eksplisit dalam satu tulisan.</w:t>
      </w:r>
    </w:p>
    <w:p>
      <w:pPr>
        <w:pStyle w:val="BodyText"/>
      </w:pPr>
      <w:r>
        <w:rPr>
          <w:b/>
          <w:bCs/>
        </w:rPr>
        <w:t xml:space="preserve">Ketiga, relevansi manajerial yang tinggi.</w:t>
      </w:r>
      <w:r>
        <w:t xml:space="preserve"> </w:t>
      </w:r>
      <w:r>
        <w:t xml:space="preserve">Tulisan ini bukan sekadar akademis; ia menawarkan panduan praktis yang dapat digunakan oleh manajer dalam mendiagnosis kelemahan visi organisasi mereka dan memahami mengapa visi yang tampak kuat di atas kertas bisa runtuh ketika tekanan datang.</w:t>
      </w:r>
    </w:p>
    <w:bookmarkEnd w:id="13"/>
    <w:bookmarkStart w:id="14" w:name="keterbatasan-dan-kelemahan"/>
    <w:p>
      <w:pPr>
        <w:pStyle w:val="Heading2"/>
      </w:pPr>
      <w:r>
        <w:t xml:space="preserve">6. Keterbatasan dan Kelemahan</w:t>
      </w:r>
    </w:p>
    <w:p>
      <w:pPr>
        <w:pStyle w:val="FirstParagraph"/>
      </w:pPr>
      <w:r>
        <w:rPr>
          <w:b/>
          <w:bCs/>
        </w:rPr>
        <w:t xml:space="preserve">Pertama, ketiadaan data empiris.</w:t>
      </w:r>
      <w:r>
        <w:t xml:space="preserve"> </w:t>
      </w:r>
      <w:r>
        <w:t xml:space="preserve">Ini adalah keterbatasan yang paling mendasar. Altıok mengklaim bahwa visi yang</w:t>
      </w:r>
      <w:r>
        <w:t xml:space="preserve"> </w:t>
      </w:r>
      <w:r>
        <w:rPr>
          <w:i/>
          <w:iCs/>
        </w:rPr>
        <w:t xml:space="preserve">applicable</w:t>
      </w:r>
      <w:r>
        <w:t xml:space="preserve"> </w:t>
      </w:r>
      <w:r>
        <w:t xml:space="preserve">meningkatkan ketahanan organisasi terhadap krisis, tetapi klaim sebab-akibat ini tidak diuji secara empiris. Artikel ini adalah</w:t>
      </w:r>
      <w:r>
        <w:t xml:space="preserve"> </w:t>
      </w:r>
      <w:r>
        <w:rPr>
          <w:i/>
          <w:iCs/>
        </w:rPr>
        <w:t xml:space="preserve">conceptual paper</w:t>
      </w:r>
      <w:r>
        <w:t xml:space="preserve">, bukan studi empiris. Tanpa pengujian, klaim tersebut tetap berstatus proposisi teoretis yang menarik, namun belum terbukti.</w:t>
      </w:r>
    </w:p>
    <w:p>
      <w:pPr>
        <w:pStyle w:val="BodyText"/>
      </w:pPr>
      <w:r>
        <w:rPr>
          <w:b/>
          <w:bCs/>
        </w:rPr>
        <w:t xml:space="preserve">Kedua, ketiadaan operasionalisasi.</w:t>
      </w:r>
      <w:r>
        <w:t xml:space="preserve"> </w:t>
      </w:r>
      <w:r>
        <w:t xml:space="preserve">Bagaimana mengukur apakah sebuah visi benar-benar</w:t>
      </w:r>
      <w:r>
        <w:t xml:space="preserve"> </w:t>
      </w:r>
      <w:r>
        <w:rPr>
          <w:i/>
          <w:iCs/>
        </w:rPr>
        <w:t xml:space="preserve">applicable</w:t>
      </w:r>
      <w:r>
        <w:t xml:space="preserve">? Altıok tidak menyediakan instrumen pengukuran atau indikator operasional. Akibatnya, seorang manajer yang membaca artikel ini tidak memiliki cara sistematis untuk menilai apakah visi organisasinya sudah atau belum memenuhi kriteria</w:t>
      </w:r>
      <w:r>
        <w:t xml:space="preserve"> </w:t>
      </w:r>
      <w:r>
        <w:rPr>
          <w:i/>
          <w:iCs/>
        </w:rPr>
        <w:t xml:space="preserve">applicable</w:t>
      </w:r>
      <w:r>
        <w:t xml:space="preserve">.</w:t>
      </w:r>
    </w:p>
    <w:p>
      <w:pPr>
        <w:pStyle w:val="BodyText"/>
      </w:pPr>
      <w:r>
        <w:rPr>
          <w:b/>
          <w:bCs/>
        </w:rPr>
        <w:t xml:space="preserve">Ketiga, keterbatasan konteks geografis.</w:t>
      </w:r>
      <w:r>
        <w:t xml:space="preserve"> </w:t>
      </w:r>
      <w:r>
        <w:t xml:space="preserve">Beberapa contoh dan referensi dalam artikel ini bersumber dari krisis ekonomi Turki dan literatur berbahasa Turki yang tidak dapat diakses secara luas oleh pembaca internasional. Generalisasi ke konteks Asia Tenggara, termasuk Indonesia, memerlukan kehati-hatian yang serius.</w:t>
      </w:r>
    </w:p>
    <w:p>
      <w:pPr>
        <w:pStyle w:val="BodyText"/>
      </w:pPr>
      <w:r>
        <w:rPr>
          <w:b/>
          <w:bCs/>
        </w:rPr>
        <w:t xml:space="preserve">Keempat, definisi krisis yang terlalu luas.</w:t>
      </w:r>
      <w:r>
        <w:t xml:space="preserve"> </w:t>
      </w:r>
      <w:r>
        <w:t xml:space="preserve">Altıok mendefinisikan krisis sebagai</w:t>
      </w:r>
      <w:r>
        <w:t xml:space="preserve"> </w:t>
      </w:r>
      <w:r>
        <w:t xml:space="preserve">“ketegangan tak-terduga yang mengancam nilai, tujuan, dan asumsi yang ada.”</w:t>
      </w:r>
      <w:r>
        <w:t xml:space="preserve"> </w:t>
      </w:r>
      <w:r>
        <w:t xml:space="preserve">Definisi ini terlalu inklusif karena mencakup krisis finansial global, bencana alam, gangguan rantai pasok, dan skandal reputasi sekaligus, sehingga tidak membantu membedakan jenis intervensi visi yang paling efektif untuk masing-masing tipe krisis.</w:t>
      </w:r>
    </w:p>
    <w:bookmarkEnd w:id="14"/>
    <w:bookmarkStart w:id="15" w:name="evaluasi-kritis"/>
    <w:p>
      <w:pPr>
        <w:pStyle w:val="Heading2"/>
      </w:pPr>
      <w:r>
        <w:t xml:space="preserve">7. Evaluasi Kritis</w:t>
      </w:r>
    </w:p>
    <w:p>
      <w:pPr>
        <w:pStyle w:val="FirstParagraph"/>
      </w:pPr>
      <w:r>
        <w:t xml:space="preserve">Altıok (2011) menulis pada saat yang tepat, yakni sesaat setelah krisis finansial global 2008, dan menjawab pertanyaan yang sangat relevan: mengapa krisis tersebut membuat banyak perusahaan kolaps meski mereka memiliki dokumen visi dan misi yang tampak solid? Jawabannya logis dan meyakinkan secara konseptual: visi yang hanya berupa dokumen formal tidak memiliki daya ikat ketika organisasi dihantam tekanan eksternal yang ekstrem.</w:t>
      </w:r>
    </w:p>
    <w:p>
      <w:pPr>
        <w:pStyle w:val="BodyText"/>
      </w:pPr>
      <w:r>
        <w:t xml:space="preserve">Namun, terdapat satu kelemahan argumen yang cukup mendasar yang perlu dicermati. Altıok tidak mempertimbangkan kemungkinan bahwa hubungan kausalitas berjalan sebaliknya. Bisa jadi, organisasi yang memiliki kepemimpinan kuat dan budaya yang sehat, dua kondisi anteseden yang ia sendiri bahas, adalah yang akhirnya menghasilkan visi</w:t>
      </w:r>
      <w:r>
        <w:t xml:space="preserve"> </w:t>
      </w:r>
      <w:r>
        <w:rPr>
          <w:i/>
          <w:iCs/>
        </w:rPr>
        <w:t xml:space="preserve">applicable</w:t>
      </w:r>
      <w:r>
        <w:t xml:space="preserve">, bukan sebaliknya. Dengan kata lain, visi</w:t>
      </w:r>
      <w:r>
        <w:t xml:space="preserve"> </w:t>
      </w:r>
      <w:r>
        <w:rPr>
          <w:i/>
          <w:iCs/>
        </w:rPr>
        <w:t xml:space="preserve">applicable</w:t>
      </w:r>
      <w:r>
        <w:t xml:space="preserve"> </w:t>
      </w:r>
      <w:r>
        <w:t xml:space="preserve">mungkin lebih merupakan</w:t>
      </w:r>
      <w:r>
        <w:t xml:space="preserve"> </w:t>
      </w:r>
      <w:r>
        <w:rPr>
          <w:i/>
          <w:iCs/>
        </w:rPr>
        <w:t xml:space="preserve">symptom</w:t>
      </w:r>
      <w:r>
        <w:t xml:space="preserve"> </w:t>
      </w:r>
      <w:r>
        <w:t xml:space="preserve">dari organisasi yang sehat daripada</w:t>
      </w:r>
      <w:r>
        <w:t xml:space="preserve"> </w:t>
      </w:r>
      <w:r>
        <w:rPr>
          <w:i/>
          <w:iCs/>
        </w:rPr>
        <w:t xml:space="preserve">cause</w:t>
      </w:r>
      <w:r>
        <w:t xml:space="preserve">-nya.</w:t>
      </w:r>
    </w:p>
    <w:p>
      <w:pPr>
        <w:pStyle w:val="BodyText"/>
      </w:pPr>
      <w:r>
        <w:t xml:space="preserve">Di samping itu, artikel ini tidak membahas batasan konsep secara kritis. Apakah ada kondisi di mana visi yang</w:t>
      </w:r>
      <w:r>
        <w:t xml:space="preserve"> </w:t>
      </w:r>
      <w:r>
        <w:rPr>
          <w:i/>
          <w:iCs/>
        </w:rPr>
        <w:t xml:space="preserve">applicable</w:t>
      </w:r>
      <w:r>
        <w:t xml:space="preserve"> </w:t>
      </w:r>
      <w:r>
        <w:t xml:space="preserve">justru menghambat adaptasi? Penelitian tentang</w:t>
      </w:r>
      <w:r>
        <w:t xml:space="preserve"> </w:t>
      </w:r>
      <w:r>
        <w:rPr>
          <w:i/>
          <w:iCs/>
        </w:rPr>
        <w:t xml:space="preserve">strategic inertia</w:t>
      </w:r>
      <w:r>
        <w:t xml:space="preserve"> </w:t>
      </w:r>
      <w:r>
        <w:t xml:space="preserve">(Leonard-Barton, 1992) menunjukkan bahwa kapabilitas inti yang terlalu kuat dapat menjadi</w:t>
      </w:r>
      <w:r>
        <w:t xml:space="preserve"> </w:t>
      </w:r>
      <w:r>
        <w:rPr>
          <w:i/>
          <w:iCs/>
        </w:rPr>
        <w:t xml:space="preserve">core rigidities</w:t>
      </w:r>
      <w:r>
        <w:t xml:space="preserve"> </w:t>
      </w:r>
      <w:r>
        <w:t xml:space="preserve">yang menghalangi perubahan. Visi yang terlalu kuat dimiliki bersama berpotensi menciptakan resistensi terhadap</w:t>
      </w:r>
      <w:r>
        <w:t xml:space="preserve"> </w:t>
      </w:r>
      <w:r>
        <w:rPr>
          <w:i/>
          <w:iCs/>
        </w:rPr>
        <w:t xml:space="preserve">pivot</w:t>
      </w:r>
      <w:r>
        <w:t xml:space="preserve"> </w:t>
      </w:r>
      <w:r>
        <w:t xml:space="preserve">strategis yang sebenarnya diperlukan ketika lanskap industri berubah secara fundamental.</w:t>
      </w:r>
    </w:p>
    <w:p>
      <w:pPr>
        <w:pStyle w:val="BodyText"/>
      </w:pPr>
      <w:r>
        <w:t xml:space="preserve">Terlepas dari keterbatasan ini, artikel Altıok tetap merupakan kontribusi konseptual yang berguna, khususnya sebagai pengantar ke diskusi yang lebih komprehensif tentang hubungan antara visi, budaya, dan ketahanan organisasi.</w:t>
      </w:r>
    </w:p>
    <w:bookmarkEnd w:id="15"/>
    <w:bookmarkStart w:id="16" w:name="X08ce25e3f5d53481848f16121df5d913eaf4e5d"/>
    <w:p>
      <w:pPr>
        <w:pStyle w:val="Heading2"/>
      </w:pPr>
      <w:r>
        <w:t xml:space="preserve">8. Implikasi bagi Pemahaman Manajemen Strategik</w:t>
      </w:r>
    </w:p>
    <w:p>
      <w:pPr>
        <w:pStyle w:val="FirstParagraph"/>
      </w:pPr>
      <w:r>
        <w:rPr>
          <w:b/>
          <w:bCs/>
        </w:rPr>
        <w:t xml:space="preserve">Pertama</w:t>
      </w:r>
      <w:r>
        <w:t xml:space="preserve">, formulasi visi bukan sekadar latihan dokumentasi. Proses pembentukannya, seberapa inklusif dan seberapa partisipatif, menentukan seberapa dalam visi itu tertanam dalam budaya organisasi. Implikasi ini relevan bagi manajer yang bertanggung jawab atas proses perencanaan strategis karena cara visi dibentuk sama pentingnya dengan isi visi itu sendiri.</w:t>
      </w:r>
    </w:p>
    <w:p>
      <w:pPr>
        <w:pStyle w:val="BodyText"/>
      </w:pPr>
      <w:r>
        <w:rPr>
          <w:b/>
          <w:bCs/>
        </w:rPr>
        <w:t xml:space="preserve">Kedua</w:t>
      </w:r>
      <w:r>
        <w:t xml:space="preserve">, investasi dalam komunikasi dan internalisasi visi adalah investasi dalam ketahanan organisasi jangka panjang. Perusahaan yang mengalokasikan sumber daya untuk memastikan bahwa seluruh karyawan memahami dan menginternalisasi visi tidak sekadar melakukan aktivitas HR; mereka sedang membangun kapabilitas menghadapi krisis yang tidak terlihat di neraca tetapi sangat nyata nilainya.</w:t>
      </w:r>
    </w:p>
    <w:p>
      <w:pPr>
        <w:pStyle w:val="BodyText"/>
      </w:pPr>
      <w:r>
        <w:rPr>
          <w:b/>
          <w:bCs/>
        </w:rPr>
        <w:t xml:space="preserve">Ketiga</w:t>
      </w:r>
      <w:r>
        <w:t xml:space="preserve">, bagi auditor internal dan akuntan manajemen, pertanyaan tentang seberapa</w:t>
      </w:r>
      <w:r>
        <w:t xml:space="preserve"> </w:t>
      </w:r>
      <w:r>
        <w:rPr>
          <w:i/>
          <w:iCs/>
        </w:rPr>
        <w:t xml:space="preserve">applicable</w:t>
      </w:r>
      <w:r>
        <w:t xml:space="preserve"> </w:t>
      </w:r>
      <w:r>
        <w:t xml:space="preserve">visi organisasi seharusnya menjadi bagian dari asesmen risiko tata kelola. Organisasi dengan visi yang tidak tertanam secara kultural memiliki risiko</w:t>
      </w:r>
      <w:r>
        <w:t xml:space="preserve"> </w:t>
      </w:r>
      <w:r>
        <w:rPr>
          <w:i/>
          <w:iCs/>
        </w:rPr>
        <w:t xml:space="preserve">strategic drift</w:t>
      </w:r>
      <w:r>
        <w:t xml:space="preserve"> </w:t>
      </w:r>
      <w:r>
        <w:t xml:space="preserve">yang lebih tinggi, dan risiko ini layak masuk dalam peta risiko organisasi.</w:t>
      </w:r>
    </w:p>
    <w:bookmarkEnd w:id="16"/>
    <w:bookmarkStart w:id="17" w:name="X9715f5477454b0f18f77c34a9fa9ac7a18408da"/>
    <w:p>
      <w:pPr>
        <w:pStyle w:val="Heading2"/>
      </w:pPr>
      <w:r>
        <w:t xml:space="preserve">9. Isu untuk Didebatkan dan Didiskusikan Lebih Lanjut</w:t>
      </w:r>
    </w:p>
    <w:p>
      <w:pPr>
        <w:pStyle w:val="FirstParagraph"/>
      </w:pPr>
      <w:r>
        <w:rPr>
          <w:b/>
          <w:bCs/>
        </w:rPr>
        <w:t xml:space="preserve">Pertama</w:t>
      </w:r>
      <w:r>
        <w:t xml:space="preserve">, apakah visi yang</w:t>
      </w:r>
      <w:r>
        <w:t xml:space="preserve"> </w:t>
      </w:r>
      <w:r>
        <w:rPr>
          <w:i/>
          <w:iCs/>
        </w:rPr>
        <w:t xml:space="preserve">applicable</w:t>
      </w:r>
      <w:r>
        <w:t xml:space="preserve"> </w:t>
      </w:r>
      <w:r>
        <w:t xml:space="preserve">selalu menguntungkan, atau apakah ada titik di mana visi yang terlalu kuat justru menghambat adaptasi strategis yang diperlukan? Kasus-kasus perusahaan yang gagal karena terlalu terikat pada identitas lamanya, seperti Kodak dan Blockbuster, layak diperbandingkan dengan argumen Altıok untuk menghasilkan pemahaman yang lebih bernuansa.</w:t>
      </w:r>
    </w:p>
    <w:p>
      <w:pPr>
        <w:pStyle w:val="BodyText"/>
      </w:pPr>
      <w:r>
        <w:rPr>
          <w:b/>
          <w:bCs/>
        </w:rPr>
        <w:t xml:space="preserve">Kedua</w:t>
      </w:r>
      <w:r>
        <w:t xml:space="preserve">, bagaimana mengoperasionalisasi konsep</w:t>
      </w:r>
      <w:r>
        <w:t xml:space="preserve"> </w:t>
      </w:r>
      <w:r>
        <w:t xml:space="preserve">“visi yang</w:t>
      </w:r>
      <w:r>
        <w:t xml:space="preserve"> </w:t>
      </w:r>
      <w:r>
        <w:rPr>
          <w:i/>
          <w:iCs/>
        </w:rPr>
        <w:t xml:space="preserve">applicable</w:t>
      </w:r>
      <w:r>
        <w:t xml:space="preserve">”</w:t>
      </w:r>
      <w:r>
        <w:t xml:space="preserve"> </w:t>
      </w:r>
      <w:r>
        <w:t xml:space="preserve">dalam konteks organisasi publik Indonesia, seperti BUMN atau instansi pemerintah, di mana tata kelola kepegawaian dan sistem insentif sangat berbeda dari sektor swasta? Apakah kerangka Altıok perlu dimodifikasi secara substansial untuk konteks ini?</w:t>
      </w:r>
    </w:p>
    <w:p>
      <w:pPr>
        <w:pStyle w:val="BodyText"/>
      </w:pPr>
      <w:r>
        <w:rPr>
          <w:b/>
          <w:bCs/>
        </w:rPr>
        <w:t xml:space="preserve">Ketiga</w:t>
      </w:r>
      <w:r>
        <w:t xml:space="preserve">, apakah ketiadaan data empiris merupakan kelemahan fundamental yang mendiskualifikasi klaim Altıok, atau apakah proposisi konseptual yang kuat tetap bernilai tinggi meskipun belum teruji secara empiris? Debat tentang batas antara</w:t>
      </w:r>
      <w:r>
        <w:t xml:space="preserve"> </w:t>
      </w:r>
      <w:r>
        <w:rPr>
          <w:i/>
          <w:iCs/>
        </w:rPr>
        <w:t xml:space="preserve">conceptual contribution</w:t>
      </w:r>
      <w:r>
        <w:t xml:space="preserve"> </w:t>
      </w:r>
      <w:r>
        <w:t xml:space="preserve">yang sahih dan spekulasi akademis yang tidak terverifikasi merupakan pertanyaan epistemologis penting dalam ilmu manajemen.</w:t>
      </w:r>
    </w:p>
    <w:bookmarkEnd w:id="17"/>
    <w:bookmarkEnd w:id="18"/>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2026-04-17T09:03:13Z</dcterms:created>
  <dcterms:modified xsi:type="dcterms:W3CDTF">2026-04-17T09:03:13Z</dcterms:modified>
</cp:coreProperties>
</file>

<file path=docProps/custom.xml><?xml version="1.0" encoding="utf-8"?>
<Properties xmlns="http://schemas.openxmlformats.org/officeDocument/2006/custom-properties" xmlns:vt="http://schemas.openxmlformats.org/officeDocument/2006/docPropsVTypes"/>
</file>