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3B71" w14:textId="77777777" w:rsidR="00256846" w:rsidRPr="008E1AF1" w:rsidRDefault="00000000" w:rsidP="008E1AF1">
      <w:pPr>
        <w:pStyle w:val="Heading1"/>
        <w:rPr>
          <w:rFonts w:ascii="Times New Roman" w:hAnsi="Times New Roman" w:cs="Times New Roman"/>
        </w:rPr>
      </w:pPr>
      <w:bookmarkStart w:id="0" w:name="ringkasan-materi-kuliah"/>
      <w:r w:rsidRPr="008E1AF1">
        <w:rPr>
          <w:rFonts w:ascii="Times New Roman" w:hAnsi="Times New Roman" w:cs="Times New Roman"/>
        </w:rPr>
        <w:t>RINGKASAN MATERI KULIAH</w:t>
      </w:r>
    </w:p>
    <w:p w14:paraId="13AF56C3" w14:textId="77777777" w:rsidR="00256846" w:rsidRPr="008E1AF1" w:rsidRDefault="00000000" w:rsidP="008E1AF1">
      <w:pPr>
        <w:ind w:firstLine="0"/>
        <w:jc w:val="both"/>
        <w:rPr>
          <w:rFonts w:cs="Times New Roman"/>
        </w:rPr>
      </w:pPr>
      <w:r w:rsidRPr="008E1AF1">
        <w:rPr>
          <w:rFonts w:cs="Times New Roman"/>
          <w:b/>
          <w:bCs/>
        </w:rPr>
        <w:t>Pertemuan 3: Evaluating a Company’s External Environment</w:t>
      </w:r>
    </w:p>
    <w:p w14:paraId="48A0424B" w14:textId="77777777" w:rsidR="00256846" w:rsidRPr="008E1AF1" w:rsidRDefault="00000000" w:rsidP="008E1AF1">
      <w:pPr>
        <w:pStyle w:val="BodyText"/>
        <w:ind w:firstLine="0"/>
        <w:jc w:val="both"/>
        <w:rPr>
          <w:rFonts w:cs="Times New Roman"/>
          <w:lang w:val="da-DK"/>
        </w:rPr>
      </w:pPr>
      <w:r w:rsidRPr="008E1AF1">
        <w:rPr>
          <w:rFonts w:cs="Times New Roman"/>
          <w:b/>
          <w:bCs/>
          <w:lang w:val="da-DK"/>
        </w:rPr>
        <w:t>Mata Kuliah:</w:t>
      </w:r>
      <w:r w:rsidRPr="008E1AF1">
        <w:rPr>
          <w:rFonts w:cs="Times New Roman"/>
          <w:lang w:val="da-DK"/>
        </w:rPr>
        <w:t xml:space="preserve"> Manajemen Strategik Kontemporer (MST304)</w:t>
      </w:r>
    </w:p>
    <w:p w14:paraId="471C0DB7" w14:textId="77777777" w:rsidR="00256846" w:rsidRPr="008E1AF1" w:rsidRDefault="00000000" w:rsidP="008E1AF1">
      <w:pPr>
        <w:pStyle w:val="BodyText"/>
        <w:ind w:firstLine="0"/>
        <w:jc w:val="both"/>
        <w:rPr>
          <w:rFonts w:cs="Times New Roman"/>
          <w:lang w:val="pt-BR"/>
        </w:rPr>
      </w:pPr>
      <w:r w:rsidRPr="008E1AF1">
        <w:rPr>
          <w:rFonts w:cs="Times New Roman"/>
          <w:b/>
          <w:bCs/>
          <w:lang w:val="pt-BR"/>
        </w:rPr>
        <w:t>Semester:</w:t>
      </w:r>
      <w:r w:rsidRPr="008E1AF1">
        <w:rPr>
          <w:rFonts w:cs="Times New Roman"/>
          <w:lang w:val="pt-BR"/>
        </w:rPr>
        <w:t xml:space="preserve"> II, T.A. 2025/2026</w:t>
      </w:r>
    </w:p>
    <w:p w14:paraId="1A46F07C" w14:textId="77777777" w:rsidR="00256846" w:rsidRPr="008E1AF1" w:rsidRDefault="00000000" w:rsidP="008E1AF1">
      <w:pPr>
        <w:pStyle w:val="BodyText"/>
        <w:ind w:firstLine="0"/>
        <w:jc w:val="both"/>
        <w:rPr>
          <w:rFonts w:cs="Times New Roman"/>
          <w:lang w:val="pt-BR"/>
        </w:rPr>
      </w:pPr>
      <w:r w:rsidRPr="008E1AF1">
        <w:rPr>
          <w:rFonts w:cs="Times New Roman"/>
          <w:b/>
          <w:bCs/>
          <w:lang w:val="pt-BR"/>
        </w:rPr>
        <w:t>Nama:</w:t>
      </w:r>
      <w:r w:rsidRPr="008E1AF1">
        <w:rPr>
          <w:rFonts w:cs="Times New Roman"/>
          <w:lang w:val="pt-BR"/>
        </w:rPr>
        <w:t xml:space="preserve"> Dzaki Muhammad Yusfian</w:t>
      </w:r>
    </w:p>
    <w:p w14:paraId="2E849812" w14:textId="77777777" w:rsidR="00256846" w:rsidRPr="008E1AF1" w:rsidRDefault="00000000" w:rsidP="008E1AF1">
      <w:pPr>
        <w:pStyle w:val="BodyText"/>
        <w:ind w:firstLine="0"/>
        <w:jc w:val="both"/>
        <w:rPr>
          <w:rFonts w:cs="Times New Roman"/>
        </w:rPr>
      </w:pPr>
      <w:r w:rsidRPr="008E1AF1">
        <w:rPr>
          <w:rFonts w:cs="Times New Roman"/>
          <w:b/>
          <w:bCs/>
        </w:rPr>
        <w:t>NIM:</w:t>
      </w:r>
      <w:r w:rsidRPr="008E1AF1">
        <w:rPr>
          <w:rFonts w:cs="Times New Roman"/>
        </w:rPr>
        <w:t xml:space="preserve"> 1125 01079</w:t>
      </w:r>
    </w:p>
    <w:p w14:paraId="2FCAA7E8" w14:textId="77777777" w:rsidR="00256846" w:rsidRPr="008E1AF1" w:rsidRDefault="00000000" w:rsidP="008E1AF1">
      <w:pPr>
        <w:ind w:firstLine="0"/>
        <w:jc w:val="both"/>
        <w:rPr>
          <w:rFonts w:cs="Times New Roman"/>
        </w:rPr>
      </w:pPr>
      <w:r w:rsidRPr="008E1AF1">
        <w:rPr>
          <w:rFonts w:cs="Times New Roman"/>
        </w:rPr>
        <w:pict w14:anchorId="5696901C">
          <v:rect id="_x0000_i1051" style="width:0;height:1.5pt" o:hralign="center" o:hrstd="t" o:hr="t"/>
        </w:pict>
      </w:r>
    </w:p>
    <w:p w14:paraId="0C98400F" w14:textId="4EB9504E" w:rsidR="00256846" w:rsidRPr="008E1AF1" w:rsidRDefault="00000000" w:rsidP="008E1AF1">
      <w:pPr>
        <w:pStyle w:val="Heading2"/>
        <w:jc w:val="both"/>
        <w:rPr>
          <w:rFonts w:ascii="Times New Roman" w:hAnsi="Times New Roman" w:cs="Times New Roman"/>
          <w:lang w:val="da-DK"/>
        </w:rPr>
      </w:pPr>
      <w:bookmarkStart w:id="1" w:name="pendahuluan"/>
      <w:r w:rsidRPr="008E1AF1">
        <w:rPr>
          <w:rFonts w:ascii="Times New Roman" w:hAnsi="Times New Roman" w:cs="Times New Roman"/>
          <w:lang w:val="da-DK"/>
        </w:rPr>
        <w:t xml:space="preserve">1. </w:t>
      </w:r>
      <w:r w:rsidR="008E1AF1" w:rsidRPr="008E1AF1">
        <w:rPr>
          <w:rFonts w:ascii="Times New Roman" w:hAnsi="Times New Roman" w:cs="Times New Roman"/>
          <w:lang w:val="da-DK"/>
        </w:rPr>
        <w:t>Konsep Lingkungan Eksternal: Macro dan Industry</w:t>
      </w:r>
    </w:p>
    <w:p w14:paraId="26678996" w14:textId="77777777" w:rsidR="00256846" w:rsidRPr="008E1AF1" w:rsidRDefault="00000000" w:rsidP="008E1AF1">
      <w:pPr>
        <w:jc w:val="both"/>
        <w:rPr>
          <w:rFonts w:cs="Times New Roman"/>
          <w:lang w:val="da-DK"/>
        </w:rPr>
      </w:pPr>
      <w:bookmarkStart w:id="2" w:name="X0fd24258508117a47e44c9a332543b006cdb28e"/>
      <w:bookmarkEnd w:id="1"/>
      <w:r w:rsidRPr="008E1AF1">
        <w:rPr>
          <w:rFonts w:cs="Times New Roman"/>
          <w:lang w:val="da-DK"/>
        </w:rPr>
        <w:t xml:space="preserve">TPGS membedakan dua tingkatan analisis yang harus selalu dilakukan beriringan. Tingkat pertama adalah </w:t>
      </w:r>
      <w:r w:rsidRPr="008E1AF1">
        <w:rPr>
          <w:rFonts w:cs="Times New Roman"/>
          <w:i/>
          <w:iCs/>
          <w:lang w:val="da-DK"/>
        </w:rPr>
        <w:t>macro-environment</w:t>
      </w:r>
      <w:r w:rsidRPr="008E1AF1">
        <w:rPr>
          <w:rFonts w:cs="Times New Roman"/>
          <w:lang w:val="da-DK"/>
        </w:rPr>
        <w:t xml:space="preserve">, yang dianalisis dengan kerangka PESTEL: politik, ekonomi, sosial, teknologi, lingkungan, dan legal. Tingkat kedua adalah </w:t>
      </w:r>
      <w:r w:rsidRPr="008E1AF1">
        <w:rPr>
          <w:rFonts w:cs="Times New Roman"/>
          <w:i/>
          <w:iCs/>
          <w:lang w:val="da-DK"/>
        </w:rPr>
        <w:t>industry and competitive environment</w:t>
      </w:r>
      <w:r w:rsidRPr="008E1AF1">
        <w:rPr>
          <w:rFonts w:cs="Times New Roman"/>
          <w:lang w:val="da-DK"/>
        </w:rPr>
        <w:t xml:space="preserve">, yang dianalisis dengan kerangka Lima Kekuatan Porter dan instrumen-instrumen pendukungnya seperti </w:t>
      </w:r>
      <w:r w:rsidRPr="008E1AF1">
        <w:rPr>
          <w:rFonts w:cs="Times New Roman"/>
          <w:i/>
          <w:iCs/>
          <w:lang w:val="da-DK"/>
        </w:rPr>
        <w:t>strategic group mapping</w:t>
      </w:r>
      <w:r w:rsidRPr="008E1AF1">
        <w:rPr>
          <w:rFonts w:cs="Times New Roman"/>
          <w:lang w:val="da-DK"/>
        </w:rPr>
        <w:t xml:space="preserve">, identifikasi </w:t>
      </w:r>
      <w:r w:rsidRPr="008E1AF1">
        <w:rPr>
          <w:rFonts w:cs="Times New Roman"/>
          <w:i/>
          <w:iCs/>
          <w:lang w:val="da-DK"/>
        </w:rPr>
        <w:t>driving forces</w:t>
      </w:r>
      <w:r w:rsidRPr="008E1AF1">
        <w:rPr>
          <w:rFonts w:cs="Times New Roman"/>
          <w:lang w:val="da-DK"/>
        </w:rPr>
        <w:t xml:space="preserve">, serta perumusan </w:t>
      </w:r>
      <w:r w:rsidRPr="008E1AF1">
        <w:rPr>
          <w:rFonts w:cs="Times New Roman"/>
          <w:i/>
          <w:iCs/>
          <w:lang w:val="da-DK"/>
        </w:rPr>
        <w:t>key success factors</w:t>
      </w:r>
      <w:r w:rsidRPr="008E1AF1">
        <w:rPr>
          <w:rFonts w:cs="Times New Roman"/>
          <w:lang w:val="da-DK"/>
        </w:rPr>
        <w:t>.</w:t>
      </w:r>
    </w:p>
    <w:p w14:paraId="6D160240" w14:textId="77777777" w:rsidR="00256846" w:rsidRPr="008E1AF1" w:rsidRDefault="00000000" w:rsidP="008E1AF1">
      <w:pPr>
        <w:pStyle w:val="BodyText"/>
        <w:jc w:val="both"/>
        <w:rPr>
          <w:rFonts w:cs="Times New Roman"/>
          <w:lang w:val="da-DK"/>
        </w:rPr>
      </w:pPr>
      <w:r w:rsidRPr="008E1AF1">
        <w:rPr>
          <w:rFonts w:cs="Times New Roman"/>
          <w:lang w:val="da-DK"/>
        </w:rPr>
        <w:t xml:space="preserve">Pemisahan ini bukan sekadar didaktik. Setiap tingkatan menghasilkan implikasi strategi yang berbeda. Faktor makro umumnya membutuhkan respons berupa </w:t>
      </w:r>
      <w:r w:rsidRPr="008E1AF1">
        <w:rPr>
          <w:rFonts w:cs="Times New Roman"/>
          <w:i/>
          <w:iCs/>
          <w:lang w:val="da-DK"/>
        </w:rPr>
        <w:t>positioning</w:t>
      </w:r>
      <w:r w:rsidRPr="008E1AF1">
        <w:rPr>
          <w:rFonts w:cs="Times New Roman"/>
          <w:lang w:val="da-DK"/>
        </w:rPr>
        <w:t xml:space="preserve"> jangka panjang atau </w:t>
      </w:r>
      <w:r w:rsidRPr="008E1AF1">
        <w:rPr>
          <w:rFonts w:cs="Times New Roman"/>
          <w:i/>
          <w:iCs/>
          <w:lang w:val="da-DK"/>
        </w:rPr>
        <w:t>scenario planning</w:t>
      </w:r>
      <w:r w:rsidRPr="008E1AF1">
        <w:rPr>
          <w:rFonts w:cs="Times New Roman"/>
          <w:lang w:val="da-DK"/>
        </w:rPr>
        <w:t xml:space="preserve">, karena perusahaan tunggal jarang dapat memengaruhi dinamika makro secara berarti. Sebaliknya, faktor pada level industri menyediakan ruang manuver yang lebih luas. Perusahaan dapat memilih </w:t>
      </w:r>
      <w:r w:rsidRPr="008E1AF1">
        <w:rPr>
          <w:rFonts w:cs="Times New Roman"/>
          <w:i/>
          <w:iCs/>
          <w:lang w:val="da-DK"/>
        </w:rPr>
        <w:t>strategic group</w:t>
      </w:r>
      <w:r w:rsidRPr="008E1AF1">
        <w:rPr>
          <w:rFonts w:cs="Times New Roman"/>
          <w:lang w:val="da-DK"/>
        </w:rPr>
        <w:t xml:space="preserve"> yang berbeda, mengubah hubungan dengan pemasok, atau menggeser kekuatan pembeli melalui inovasi produk dan model bisnis.</w:t>
      </w:r>
    </w:p>
    <w:p w14:paraId="00614B63" w14:textId="77777777" w:rsidR="00256846" w:rsidRPr="008E1AF1" w:rsidRDefault="00000000" w:rsidP="008E1AF1">
      <w:pPr>
        <w:pStyle w:val="BodyText"/>
        <w:jc w:val="both"/>
        <w:rPr>
          <w:rFonts w:cs="Times New Roman"/>
          <w:lang w:val="da-DK"/>
        </w:rPr>
      </w:pPr>
      <w:r w:rsidRPr="008E1AF1">
        <w:rPr>
          <w:rFonts w:cs="Times New Roman"/>
          <w:lang w:val="da-DK"/>
        </w:rPr>
        <w:t>Henry (2021) menambahkan satu pengingat penting: kedua tingkatan ini berinteraksi dan bukan dua dunia yang terpisah. Perubahan makro, misalnya kebijakan transisi energi, hampir selalu mengubah struktur industri tertentu seperti otomotif, energi, dan logistik. Sebaliknya, restrukturisasi industri yang masif, misalnya konsolidasi telekomunikasi, dapat memicu respons regulator yang pada gilirannya mengubah faktor makro. Pembacaan yang baik adalah pembacaan yang sensitif terhadap mekanisme transmisi antara dua tingkatan ini.</w:t>
      </w:r>
    </w:p>
    <w:p w14:paraId="2F95CB70" w14:textId="657FB3BC" w:rsidR="00256846" w:rsidRPr="008E1AF1" w:rsidRDefault="008E1AF1" w:rsidP="008E1AF1">
      <w:pPr>
        <w:pStyle w:val="Heading2"/>
        <w:jc w:val="both"/>
        <w:rPr>
          <w:rFonts w:ascii="Times New Roman" w:hAnsi="Times New Roman" w:cs="Times New Roman"/>
          <w:lang w:val="da-DK"/>
        </w:rPr>
      </w:pPr>
      <w:bookmarkStart w:id="3" w:name="X9410513ee82014ea433b41466c6baa5e6b3e103"/>
      <w:bookmarkEnd w:id="2"/>
      <w:r>
        <w:rPr>
          <w:rFonts w:ascii="Times New Roman" w:hAnsi="Times New Roman" w:cs="Times New Roman"/>
          <w:lang w:val="da-DK"/>
        </w:rPr>
        <w:t>2</w:t>
      </w:r>
      <w:r w:rsidR="00000000" w:rsidRPr="008E1AF1">
        <w:rPr>
          <w:rFonts w:ascii="Times New Roman" w:hAnsi="Times New Roman" w:cs="Times New Roman"/>
          <w:lang w:val="da-DK"/>
        </w:rPr>
        <w:t>. Kerangka PESTEL: Tujuh Faktor Strategis Lingkungan Makro</w:t>
      </w:r>
    </w:p>
    <w:p w14:paraId="20AA638E" w14:textId="77777777" w:rsidR="00256846" w:rsidRPr="008E1AF1" w:rsidRDefault="00000000" w:rsidP="008E1AF1">
      <w:pPr>
        <w:jc w:val="both"/>
        <w:rPr>
          <w:rFonts w:cs="Times New Roman"/>
          <w:lang w:val="da-DK"/>
        </w:rPr>
      </w:pPr>
      <w:r w:rsidRPr="008E1AF1">
        <w:rPr>
          <w:rFonts w:cs="Times New Roman"/>
          <w:lang w:val="da-DK"/>
        </w:rPr>
        <w:t xml:space="preserve">TPGS Ch. 3 mengidentifikasi tujuh kategori faktor makro yang relevan secara strategis. Pengelompokan PESTEL adalah salah satu kerangka paling lazim digunakan, namun </w:t>
      </w:r>
      <w:r w:rsidRPr="008E1AF1">
        <w:rPr>
          <w:rFonts w:cs="Times New Roman"/>
          <w:lang w:val="da-DK"/>
        </w:rPr>
        <w:lastRenderedPageBreak/>
        <w:t>manfaatnya hanya muncul jika analisis dilakukan dengan kedalaman yang memadai, bukan sekadar mendaftar isu permukaan.</w:t>
      </w:r>
    </w:p>
    <w:p w14:paraId="43B9F49C" w14:textId="77777777" w:rsidR="00256846" w:rsidRPr="008E1AF1" w:rsidRDefault="00000000" w:rsidP="008E1AF1">
      <w:pPr>
        <w:pStyle w:val="BodyText"/>
        <w:jc w:val="both"/>
        <w:rPr>
          <w:rFonts w:cs="Times New Roman"/>
          <w:lang w:val="da-DK"/>
        </w:rPr>
      </w:pPr>
      <w:r w:rsidRPr="008E1AF1">
        <w:rPr>
          <w:rFonts w:cs="Times New Roman"/>
          <w:b/>
          <w:bCs/>
          <w:lang w:val="da-DK"/>
        </w:rPr>
        <w:t>Faktor politik</w:t>
      </w:r>
      <w:r w:rsidRPr="008E1AF1">
        <w:rPr>
          <w:rFonts w:cs="Times New Roman"/>
          <w:lang w:val="da-DK"/>
        </w:rPr>
        <w:t xml:space="preserve"> mencakup stabilitas pemerintahan, arah kebijakan industri, hubungan antarlembaga negara, serta peta kekuatan politik regional. Di Indonesia, faktor ini sangat kentara dalam industri pertambangan, energi, dan infrastruktur, di mana izin, </w:t>
      </w:r>
      <w:r w:rsidRPr="008E1AF1">
        <w:rPr>
          <w:rFonts w:cs="Times New Roman"/>
          <w:i/>
          <w:iCs/>
          <w:lang w:val="da-DK"/>
        </w:rPr>
        <w:t>contract of work</w:t>
      </w:r>
      <w:r w:rsidRPr="008E1AF1">
        <w:rPr>
          <w:rFonts w:cs="Times New Roman"/>
          <w:lang w:val="da-DK"/>
        </w:rPr>
        <w:t>, dan kebijakan harga sering menjadi variabel penentu kelayakan investasi.</w:t>
      </w:r>
    </w:p>
    <w:p w14:paraId="4FE9DD16" w14:textId="77777777" w:rsidR="00256846" w:rsidRPr="008E1AF1" w:rsidRDefault="00000000" w:rsidP="008E1AF1">
      <w:pPr>
        <w:pStyle w:val="BodyText"/>
        <w:jc w:val="both"/>
        <w:rPr>
          <w:rFonts w:cs="Times New Roman"/>
          <w:lang w:val="da-DK"/>
        </w:rPr>
      </w:pPr>
      <w:r w:rsidRPr="008E1AF1">
        <w:rPr>
          <w:rFonts w:cs="Times New Roman"/>
          <w:b/>
          <w:bCs/>
          <w:lang w:val="da-DK"/>
        </w:rPr>
        <w:t>Faktor ekonomi</w:t>
      </w:r>
      <w:r w:rsidRPr="008E1AF1">
        <w:rPr>
          <w:rFonts w:cs="Times New Roman"/>
          <w:lang w:val="da-DK"/>
        </w:rPr>
        <w:t xml:space="preserve"> mencakup pertumbuhan PDB, suku bunga, nilai tukar, inflasi, tingkat pengangguran, dan struktur konsumsi. Bagi perusahaan dengan eksposur impor yang besar seperti Indofarma atau perusahaan otomotif, fluktuasi nilai tukar Rupiah berkontribusi langsung pada margin kotor. Bagi perbankan, kebijakan suku bunga acuan Bank Indonesia menentukan baik biaya dana maupun </w:t>
      </w:r>
      <w:r w:rsidRPr="008E1AF1">
        <w:rPr>
          <w:rFonts w:cs="Times New Roman"/>
          <w:i/>
          <w:iCs/>
          <w:lang w:val="da-DK"/>
        </w:rPr>
        <w:t>yield</w:t>
      </w:r>
      <w:r w:rsidRPr="008E1AF1">
        <w:rPr>
          <w:rFonts w:cs="Times New Roman"/>
          <w:lang w:val="da-DK"/>
        </w:rPr>
        <w:t xml:space="preserve"> aset produktif.</w:t>
      </w:r>
    </w:p>
    <w:p w14:paraId="59D37BB8" w14:textId="77777777" w:rsidR="00256846" w:rsidRPr="008E1AF1" w:rsidRDefault="00000000" w:rsidP="008E1AF1">
      <w:pPr>
        <w:pStyle w:val="BodyText"/>
        <w:jc w:val="both"/>
        <w:rPr>
          <w:rFonts w:cs="Times New Roman"/>
          <w:lang w:val="da-DK"/>
        </w:rPr>
      </w:pPr>
      <w:r w:rsidRPr="008E1AF1">
        <w:rPr>
          <w:rFonts w:cs="Times New Roman"/>
          <w:b/>
          <w:bCs/>
          <w:lang w:val="da-DK"/>
        </w:rPr>
        <w:t>Faktor sosiokultural</w:t>
      </w:r>
      <w:r w:rsidRPr="008E1AF1">
        <w:rPr>
          <w:rFonts w:cs="Times New Roman"/>
          <w:lang w:val="da-DK"/>
        </w:rPr>
        <w:t xml:space="preserve"> mencakup demografi, gaya hidup, nilai budaya, dan ekspektasi sosial terhadap perilaku perusahaan. Di Indonesia, transisi demografi yang sedang menuju puncak bonus demografi pada periode 2025 hingga 2035 menciptakan sekaligus peluang pasar konsumen muda dan tantangan ketenagakerjaan yang serius bagi perusahaan padat karya.</w:t>
      </w:r>
    </w:p>
    <w:p w14:paraId="213E1CCF" w14:textId="77777777" w:rsidR="00256846" w:rsidRPr="008E1AF1" w:rsidRDefault="00000000" w:rsidP="008E1AF1">
      <w:pPr>
        <w:pStyle w:val="BodyText"/>
        <w:jc w:val="both"/>
        <w:rPr>
          <w:rFonts w:cs="Times New Roman"/>
          <w:lang w:val="da-DK"/>
        </w:rPr>
      </w:pPr>
      <w:r w:rsidRPr="008E1AF1">
        <w:rPr>
          <w:rFonts w:cs="Times New Roman"/>
          <w:b/>
          <w:bCs/>
          <w:lang w:val="da-DK"/>
        </w:rPr>
        <w:t>Faktor teknologi</w:t>
      </w:r>
      <w:r w:rsidRPr="008E1AF1">
        <w:rPr>
          <w:rFonts w:cs="Times New Roman"/>
          <w:lang w:val="da-DK"/>
        </w:rPr>
        <w:t xml:space="preserve"> mencakup kecepatan inovasi, kemunculan teknologi disruptif, dan perubahan dalam infrastruktur digital. Industri perbankan, ritel, dan jasa transportasi adalah contoh paling jelas dari sektor di mana teknologi telah mengubah aturan main secara fundamental dalam waktu kurang dari satu dekade.</w:t>
      </w:r>
    </w:p>
    <w:p w14:paraId="66E3F84E" w14:textId="77777777" w:rsidR="00256846" w:rsidRPr="008E1AF1" w:rsidRDefault="00000000" w:rsidP="008E1AF1">
      <w:pPr>
        <w:pStyle w:val="BodyText"/>
        <w:jc w:val="both"/>
        <w:rPr>
          <w:rFonts w:cs="Times New Roman"/>
          <w:lang w:val="da-DK"/>
        </w:rPr>
      </w:pPr>
      <w:r w:rsidRPr="008E1AF1">
        <w:rPr>
          <w:rFonts w:cs="Times New Roman"/>
          <w:b/>
          <w:bCs/>
          <w:lang w:val="da-DK"/>
        </w:rPr>
        <w:t>Faktor lingkungan</w:t>
      </w:r>
      <w:r w:rsidRPr="008E1AF1">
        <w:rPr>
          <w:rFonts w:cs="Times New Roman"/>
          <w:lang w:val="da-DK"/>
        </w:rPr>
        <w:t xml:space="preserve"> mencakup perubahan iklim, ketersediaan sumber daya alam, dan tekanan transisi energi. Bagi perusahaan batu bara seperti Adaro Energy, faktor ini bukan lagi sekadar isu reputasi melainkan determinan utama nilai aset cadangan dan struktur permodalan jangka panjang.</w:t>
      </w:r>
    </w:p>
    <w:p w14:paraId="52B9B0A3" w14:textId="77777777" w:rsidR="00256846" w:rsidRPr="008E1AF1" w:rsidRDefault="00000000" w:rsidP="008E1AF1">
      <w:pPr>
        <w:pStyle w:val="BodyText"/>
        <w:jc w:val="both"/>
        <w:rPr>
          <w:rFonts w:cs="Times New Roman"/>
          <w:lang w:val="da-DK"/>
        </w:rPr>
      </w:pPr>
      <w:r w:rsidRPr="008E1AF1">
        <w:rPr>
          <w:rFonts w:cs="Times New Roman"/>
          <w:b/>
          <w:bCs/>
          <w:lang w:val="da-DK"/>
        </w:rPr>
        <w:t>Faktor hukum</w:t>
      </w:r>
      <w:r w:rsidRPr="008E1AF1">
        <w:rPr>
          <w:rFonts w:cs="Times New Roman"/>
          <w:lang w:val="da-DK"/>
        </w:rPr>
        <w:t xml:space="preserve"> mencakup regulasi sektoral, perlindungan konsumen, hak kekayaan intelektual, ketenagakerjaan, dan persaingan usaha. Penerapan UU Cipta Kerja dan turunannya, misalnya, mengubah lanskap perizinan dan ketenagakerjaan secara cukup mendasar bagi banyak sektor di Indonesia.</w:t>
      </w:r>
    </w:p>
    <w:p w14:paraId="38BA310F" w14:textId="77777777" w:rsidR="00256846" w:rsidRPr="008E1AF1" w:rsidRDefault="00000000" w:rsidP="008E1AF1">
      <w:pPr>
        <w:pStyle w:val="BodyText"/>
        <w:jc w:val="both"/>
        <w:rPr>
          <w:rFonts w:cs="Times New Roman"/>
          <w:lang w:val="pt-BR"/>
        </w:rPr>
      </w:pPr>
      <w:r w:rsidRPr="008E1AF1">
        <w:rPr>
          <w:rFonts w:cs="Times New Roman"/>
          <w:b/>
          <w:bCs/>
          <w:lang w:val="pt-BR"/>
        </w:rPr>
        <w:t>Faktor global</w:t>
      </w:r>
      <w:r w:rsidRPr="008E1AF1">
        <w:rPr>
          <w:rFonts w:cs="Times New Roman"/>
          <w:lang w:val="pt-BR"/>
        </w:rPr>
        <w:t xml:space="preserve"> mencakup integrasi pasar internasional, perubahan rantai pasok lintas negara, dan dinamika geopolitik. Konflik geopolitik di Eropa Timur, ketegangan dagang Amerika Serikat dengan Tiongkok, serta restrukturisasi rantai pasok semikonduktor pasca-pandemi adalah ilustrasi kontemporer yang relevan.</w:t>
      </w:r>
    </w:p>
    <w:p w14:paraId="59F8F01A" w14:textId="77777777" w:rsidR="00256846" w:rsidRPr="008E1AF1" w:rsidRDefault="00000000" w:rsidP="008E1AF1">
      <w:pPr>
        <w:pStyle w:val="BodyText"/>
        <w:jc w:val="both"/>
        <w:rPr>
          <w:rFonts w:cs="Times New Roman"/>
          <w:lang w:val="fi-FI"/>
        </w:rPr>
      </w:pPr>
      <w:r w:rsidRPr="008E1AF1">
        <w:rPr>
          <w:rFonts w:cs="Times New Roman"/>
          <w:lang w:val="fi-FI"/>
        </w:rPr>
        <w:lastRenderedPageBreak/>
        <w:t>Penekanan TPGS adalah pada selektivitas. Tidak semua dari tujuh faktor di atas memiliki bobot strategis yang sama bagi setiap perusahaan. Tugas analis strategis adalah memilah faktor mana yang memiliki dampak paling material dan kemungkinan paling tinggi terjadinya, kemudian menjadikan faktor itu sebagai jangkar bagi formulasi strategi.</w:t>
      </w:r>
    </w:p>
    <w:p w14:paraId="3E20059D" w14:textId="19557AB4" w:rsidR="00256846" w:rsidRPr="008E1AF1" w:rsidRDefault="008E1AF1" w:rsidP="008E1AF1">
      <w:pPr>
        <w:pStyle w:val="Heading2"/>
        <w:jc w:val="both"/>
        <w:rPr>
          <w:rFonts w:ascii="Times New Roman" w:hAnsi="Times New Roman" w:cs="Times New Roman"/>
          <w:lang w:val="fi-FI"/>
        </w:rPr>
      </w:pPr>
      <w:bookmarkStart w:id="4" w:name="X6085459c45e419e71d1c4b43ba339e91a940d60"/>
      <w:bookmarkEnd w:id="3"/>
      <w:r>
        <w:rPr>
          <w:rFonts w:ascii="Times New Roman" w:hAnsi="Times New Roman" w:cs="Times New Roman"/>
          <w:lang w:val="fi-FI"/>
        </w:rPr>
        <w:t>3</w:t>
      </w:r>
      <w:r w:rsidR="00000000" w:rsidRPr="008E1AF1">
        <w:rPr>
          <w:rFonts w:ascii="Times New Roman" w:hAnsi="Times New Roman" w:cs="Times New Roman"/>
          <w:lang w:val="fi-FI"/>
        </w:rPr>
        <w:t>. Lima Kekuatan Porter: Anatomi Daya Tarik Industri</w:t>
      </w:r>
    </w:p>
    <w:p w14:paraId="6D842EA6" w14:textId="77777777" w:rsidR="00256846" w:rsidRPr="008E1AF1" w:rsidRDefault="00000000" w:rsidP="008E1AF1">
      <w:pPr>
        <w:jc w:val="both"/>
        <w:rPr>
          <w:rFonts w:cs="Times New Roman"/>
          <w:lang w:val="fi-FI"/>
        </w:rPr>
      </w:pPr>
      <w:r w:rsidRPr="008E1AF1">
        <w:rPr>
          <w:rFonts w:cs="Times New Roman"/>
          <w:lang w:val="fi-FI"/>
        </w:rPr>
        <w:t>Kerangka Lima Kekuatan Porter (1979) tetap menjadi alat paling sentral dalam analisis tingkat industri. Inti pemikiran Porter adalah bahwa profitabilitas rata-rata sebuah industri dalam jangka panjang ditentukan oleh interaksi lima kekuatan struktural, bukan semata oleh perilaku perusahaan secara individual.</w:t>
      </w:r>
    </w:p>
    <w:p w14:paraId="02FE959D" w14:textId="77777777" w:rsidR="00256846" w:rsidRPr="008E1AF1" w:rsidRDefault="00000000" w:rsidP="008E1AF1">
      <w:pPr>
        <w:pStyle w:val="BodyText"/>
        <w:jc w:val="both"/>
        <w:rPr>
          <w:rFonts w:cs="Times New Roman"/>
          <w:lang w:val="fi-FI"/>
        </w:rPr>
      </w:pPr>
      <w:r w:rsidRPr="008E1AF1">
        <w:rPr>
          <w:rFonts w:cs="Times New Roman"/>
          <w:b/>
          <w:bCs/>
          <w:lang w:val="fi-FI"/>
        </w:rPr>
        <w:t>Pertama, persaingan antarpemain yang sudah ada.</w:t>
      </w:r>
      <w:r w:rsidRPr="008E1AF1">
        <w:rPr>
          <w:rFonts w:cs="Times New Roman"/>
          <w:lang w:val="fi-FI"/>
        </w:rPr>
        <w:t xml:space="preserve"> Intensitasnya bergantung pada jumlah pesaing, tingkat pertumbuhan industri, diferensiasi produk, hambatan keluar, dan struktur biaya tetap. Industri dengan banyak pemain berukuran setara dan pertumbuhan rendah cenderung menampilkan persaingan yang melelahkan, seperti industri ritel modern di Indonesia pada periode 2018 hingga 2023.</w:t>
      </w:r>
    </w:p>
    <w:p w14:paraId="7BBE4C86" w14:textId="77777777" w:rsidR="00256846" w:rsidRPr="008E1AF1" w:rsidRDefault="00000000" w:rsidP="008E1AF1">
      <w:pPr>
        <w:pStyle w:val="BodyText"/>
        <w:jc w:val="both"/>
        <w:rPr>
          <w:rFonts w:cs="Times New Roman"/>
          <w:lang w:val="fi-FI"/>
        </w:rPr>
      </w:pPr>
      <w:r w:rsidRPr="008E1AF1">
        <w:rPr>
          <w:rFonts w:cs="Times New Roman"/>
          <w:b/>
          <w:bCs/>
          <w:lang w:val="fi-FI"/>
        </w:rPr>
        <w:t>Kedua, ancaman pendatang baru.</w:t>
      </w:r>
      <w:r w:rsidRPr="008E1AF1">
        <w:rPr>
          <w:rFonts w:cs="Times New Roman"/>
          <w:lang w:val="fi-FI"/>
        </w:rPr>
        <w:t xml:space="preserve"> Tingginya ancaman menekan profitabilitas industri karena pemain lama dipaksa menahan harga dan menambah biaya defensif. Hambatan masuk yang lazim mencakup skala ekonomi, kebutuhan modal, akses ke jaringan distribusi, kekuatan merek, kurva pengalaman, dan regulasi. Di Indonesia, industri perbankan memiliki hambatan masuk yang sangat tinggi karena kombinasi modal inti minimum, jaringan kantor, dan persyaratan perizinan OJK.</w:t>
      </w:r>
    </w:p>
    <w:p w14:paraId="4E8A9C21" w14:textId="77777777" w:rsidR="00256846" w:rsidRPr="008E1AF1" w:rsidRDefault="00000000" w:rsidP="008E1AF1">
      <w:pPr>
        <w:pStyle w:val="BodyText"/>
        <w:jc w:val="both"/>
        <w:rPr>
          <w:rFonts w:cs="Times New Roman"/>
          <w:lang w:val="fi-FI"/>
        </w:rPr>
      </w:pPr>
      <w:r w:rsidRPr="008E1AF1">
        <w:rPr>
          <w:rFonts w:cs="Times New Roman"/>
          <w:b/>
          <w:bCs/>
          <w:lang w:val="fi-FI"/>
        </w:rPr>
        <w:t>Ketiga, ancaman produk substitusi.</w:t>
      </w:r>
      <w:r w:rsidRPr="008E1AF1">
        <w:rPr>
          <w:rFonts w:cs="Times New Roman"/>
          <w:lang w:val="fi-FI"/>
        </w:rPr>
        <w:t xml:space="preserve"> Substitusi yang lebih murah, lebih efisien, atau lebih nyaman dapat menggeser permintaan secara fundamental. Telegram menggantikan SMS, </w:t>
      </w:r>
      <w:r w:rsidRPr="008E1AF1">
        <w:rPr>
          <w:rFonts w:cs="Times New Roman"/>
          <w:i/>
          <w:iCs/>
          <w:lang w:val="fi-FI"/>
        </w:rPr>
        <w:t>e-wallet</w:t>
      </w:r>
      <w:r w:rsidRPr="008E1AF1">
        <w:rPr>
          <w:rFonts w:cs="Times New Roman"/>
          <w:lang w:val="fi-FI"/>
        </w:rPr>
        <w:t xml:space="preserve"> menggantikan kartu debit untuk transaksi mikro, dan kendaraan listrik menggeser permintaan bahan bakar fosil dalam jangka menengah ke panjang.</w:t>
      </w:r>
    </w:p>
    <w:p w14:paraId="36947AAD" w14:textId="77777777" w:rsidR="00256846" w:rsidRPr="008E1AF1" w:rsidRDefault="00000000" w:rsidP="008E1AF1">
      <w:pPr>
        <w:pStyle w:val="BodyText"/>
        <w:jc w:val="both"/>
        <w:rPr>
          <w:rFonts w:cs="Times New Roman"/>
          <w:lang w:val="fi-FI"/>
        </w:rPr>
      </w:pPr>
      <w:r w:rsidRPr="008E1AF1">
        <w:rPr>
          <w:rFonts w:cs="Times New Roman"/>
          <w:b/>
          <w:bCs/>
          <w:lang w:val="fi-FI"/>
        </w:rPr>
        <w:t>Keempat, kekuatan tawar pemasok.</w:t>
      </w:r>
      <w:r w:rsidRPr="008E1AF1">
        <w:rPr>
          <w:rFonts w:cs="Times New Roman"/>
          <w:lang w:val="fi-FI"/>
        </w:rPr>
        <w:t xml:space="preserve"> Kekuatan ini meningkat ketika pemasok terkonsentrasi, produk tidak memiliki substitusi dekat, dan biaya peralihan tinggi bagi pembeli. Industri penerbangan global menghadapi kekuatan pemasok yang sangat tinggi pada level pesawat (Boeing dan Airbus) maupun mesin (Pratt &amp; Whitney, GE, Rolls-Royce).</w:t>
      </w:r>
    </w:p>
    <w:p w14:paraId="79330CC5" w14:textId="77777777" w:rsidR="00256846" w:rsidRPr="008E1AF1" w:rsidRDefault="00000000" w:rsidP="008E1AF1">
      <w:pPr>
        <w:pStyle w:val="BodyText"/>
        <w:jc w:val="both"/>
        <w:rPr>
          <w:rFonts w:cs="Times New Roman"/>
          <w:lang w:val="fi-FI"/>
        </w:rPr>
      </w:pPr>
      <w:r w:rsidRPr="008E1AF1">
        <w:rPr>
          <w:rFonts w:cs="Times New Roman"/>
          <w:b/>
          <w:bCs/>
          <w:lang w:val="fi-FI"/>
        </w:rPr>
        <w:t>Kelima, kekuatan tawar pembeli.</w:t>
      </w:r>
      <w:r w:rsidRPr="008E1AF1">
        <w:rPr>
          <w:rFonts w:cs="Times New Roman"/>
          <w:lang w:val="fi-FI"/>
        </w:rPr>
        <w:t xml:space="preserve"> Kekuatan ini meningkat ketika pembeli terkonsentrasi, membeli dalam volume besar, atau memiliki banyak alternatif. Industri pemasok komponen otomotif di Indonesia, seperti Astra Otoparts, menghadapi kekuatan tawar pembeli yang signifikan dari pelanggan utamanya yang berukuran jauh lebih besar.</w:t>
      </w:r>
    </w:p>
    <w:p w14:paraId="367DDE2C" w14:textId="77777777" w:rsidR="00256846" w:rsidRPr="008E1AF1" w:rsidRDefault="00000000" w:rsidP="008E1AF1">
      <w:pPr>
        <w:pStyle w:val="BodyText"/>
        <w:jc w:val="both"/>
        <w:rPr>
          <w:rFonts w:cs="Times New Roman"/>
          <w:lang w:val="fi-FI"/>
        </w:rPr>
      </w:pPr>
      <w:r w:rsidRPr="008E1AF1">
        <w:rPr>
          <w:rFonts w:cs="Times New Roman"/>
          <w:lang w:val="fi-FI"/>
        </w:rPr>
        <w:lastRenderedPageBreak/>
        <w:t>Henry (2021) menambahkan diskusi penting tentang keterbatasan kerangka ini. Pertama, Lima Kekuatan Porter cenderung memperlakukan industri sebagai entitas yang batasnya jelas, padahal pada praktiknya konvergensi industri (misalnya antara perbankan dan teknologi finansial) sering membuat penentuan batas industri menjadi pertanyaan strategis tersendiri. Kedua, kerangka ini relatif statis. Ia memotret struktur pada satu titik waktu dan kurang sensitif terhadap dinamika perubahan yang berkelanjutan, terutama dalam industri berbasis platform digital.</w:t>
      </w:r>
    </w:p>
    <w:p w14:paraId="15C11A86" w14:textId="77777777" w:rsidR="00256846" w:rsidRPr="008E1AF1" w:rsidRDefault="00000000" w:rsidP="008E1AF1">
      <w:pPr>
        <w:pStyle w:val="BodyText"/>
        <w:jc w:val="both"/>
        <w:rPr>
          <w:rFonts w:cs="Times New Roman"/>
          <w:lang w:val="fi-FI"/>
        </w:rPr>
      </w:pPr>
      <w:r w:rsidRPr="008E1AF1">
        <w:rPr>
          <w:rFonts w:cs="Times New Roman"/>
          <w:lang w:val="fi-FI"/>
        </w:rPr>
        <w:t xml:space="preserve">Beberapa penulis kemudian menambahkan kekuatan keenam, yaitu </w:t>
      </w:r>
      <w:r w:rsidRPr="008E1AF1">
        <w:rPr>
          <w:rFonts w:cs="Times New Roman"/>
          <w:i/>
          <w:iCs/>
          <w:lang w:val="fi-FI"/>
        </w:rPr>
        <w:t>complementors</w:t>
      </w:r>
      <w:r w:rsidRPr="008E1AF1">
        <w:rPr>
          <w:rFonts w:cs="Times New Roman"/>
          <w:lang w:val="fi-FI"/>
        </w:rPr>
        <w:t xml:space="preserve">, yang dipopulerkan Brandenburger dan Nalebuff (1996). Pemain </w:t>
      </w:r>
      <w:r w:rsidRPr="008E1AF1">
        <w:rPr>
          <w:rFonts w:cs="Times New Roman"/>
          <w:i/>
          <w:iCs/>
          <w:lang w:val="fi-FI"/>
        </w:rPr>
        <w:t>complementor</w:t>
      </w:r>
      <w:r w:rsidRPr="008E1AF1">
        <w:rPr>
          <w:rFonts w:cs="Times New Roman"/>
          <w:lang w:val="fi-FI"/>
        </w:rPr>
        <w:t xml:space="preserve"> adalah pihak yang produknya menambah nilai produk perusahaan tanpa berkompetisi langsung. Contoh paling jelas adalah hubungan antara produsen </w:t>
      </w:r>
      <w:r w:rsidRPr="008E1AF1">
        <w:rPr>
          <w:rFonts w:cs="Times New Roman"/>
          <w:i/>
          <w:iCs/>
          <w:lang w:val="fi-FI"/>
        </w:rPr>
        <w:t>console</w:t>
      </w:r>
      <w:r w:rsidRPr="008E1AF1">
        <w:rPr>
          <w:rFonts w:cs="Times New Roman"/>
          <w:lang w:val="fi-FI"/>
        </w:rPr>
        <w:t xml:space="preserve"> video game dengan pengembang perangkat lunaknya.</w:t>
      </w:r>
    </w:p>
    <w:p w14:paraId="2C2346AC" w14:textId="6284CE5A" w:rsidR="00256846" w:rsidRPr="008E1AF1" w:rsidRDefault="008E1AF1" w:rsidP="008E1AF1">
      <w:pPr>
        <w:pStyle w:val="Heading2"/>
        <w:jc w:val="both"/>
        <w:rPr>
          <w:rFonts w:ascii="Times New Roman" w:hAnsi="Times New Roman" w:cs="Times New Roman"/>
        </w:rPr>
      </w:pPr>
      <w:bookmarkStart w:id="5" w:name="X7b03e89b1e06d788cbfb1db66837ae7a18e4818"/>
      <w:bookmarkEnd w:id="4"/>
      <w:r>
        <w:rPr>
          <w:rFonts w:ascii="Times New Roman" w:hAnsi="Times New Roman" w:cs="Times New Roman"/>
        </w:rPr>
        <w:t>4</w:t>
      </w:r>
      <w:r w:rsidR="00000000" w:rsidRPr="008E1AF1">
        <w:rPr>
          <w:rFonts w:ascii="Times New Roman" w:hAnsi="Times New Roman" w:cs="Times New Roman"/>
        </w:rPr>
        <w:t>. Strategic Group Mapping dan Posisi Kompetitif</w:t>
      </w:r>
    </w:p>
    <w:p w14:paraId="605AEC9B" w14:textId="77777777" w:rsidR="00256846" w:rsidRPr="008E1AF1" w:rsidRDefault="00000000" w:rsidP="008E1AF1">
      <w:pPr>
        <w:jc w:val="both"/>
        <w:rPr>
          <w:rFonts w:cs="Times New Roman"/>
        </w:rPr>
      </w:pPr>
      <w:r w:rsidRPr="008E1AF1">
        <w:rPr>
          <w:rFonts w:cs="Times New Roman"/>
          <w:i/>
          <w:iCs/>
        </w:rPr>
        <w:t>Strategic group mapping</w:t>
      </w:r>
      <w:r w:rsidRPr="008E1AF1">
        <w:rPr>
          <w:rFonts w:cs="Times New Roman"/>
        </w:rPr>
        <w:t xml:space="preserve"> adalah instrumen analisis yang membantu memahami bahwa industri sering bukan kontes satu lawan satu, melainkan sekumpulan kelompok strategis yang masing-masing menjalankan model bisnis yang berbeda. Kelompok-kelompok ini biasanya dibedakan berdasarkan kombinasi dua atau lebih variabel strategis seperti cakupan geografis, lebar lini produk, segmen pelanggan, kualitas, harga, dan saluran distribusi.</w:t>
      </w:r>
    </w:p>
    <w:p w14:paraId="1B33D206" w14:textId="77777777" w:rsidR="00256846" w:rsidRPr="008E1AF1" w:rsidRDefault="00000000" w:rsidP="008E1AF1">
      <w:pPr>
        <w:pStyle w:val="BodyText"/>
        <w:jc w:val="both"/>
        <w:rPr>
          <w:rFonts w:cs="Times New Roman"/>
        </w:rPr>
      </w:pPr>
      <w:r w:rsidRPr="008E1AF1">
        <w:rPr>
          <w:rFonts w:cs="Times New Roman"/>
        </w:rPr>
        <w:t>Sebagai ilustrasi, industri perbankan Indonesia dapat dipetakan dalam beberapa kelompok strategis yang khas: bank universal berbasis digital seperti BCA dan Bank Mandiri, bank korporasi yang masih mengandalkan jaringan cabang seperti BNI, bank berorientasi UMKM seperti BRI, bank syariah seperti Bank Syariah Indonesia, dan bank digital murni seperti SeaBank dan Bank Jago. Masing-masing kelompok menghadapi struktur biaya, pelanggan, dan tantangan kompetitif yang berbeda secara material, sehingga strategi yang berhasil di satu kelompok belum tentu efektif di kelompok lain.</w:t>
      </w:r>
    </w:p>
    <w:p w14:paraId="2E0CF03F" w14:textId="77777777" w:rsidR="00256846" w:rsidRPr="008E1AF1" w:rsidRDefault="00000000" w:rsidP="008E1AF1">
      <w:pPr>
        <w:pStyle w:val="BodyText"/>
        <w:jc w:val="both"/>
        <w:rPr>
          <w:rFonts w:cs="Times New Roman"/>
        </w:rPr>
      </w:pPr>
      <w:r w:rsidRPr="008E1AF1">
        <w:rPr>
          <w:rFonts w:cs="Times New Roman"/>
        </w:rPr>
        <w:t xml:space="preserve">Manfaat utama </w:t>
      </w:r>
      <w:r w:rsidRPr="008E1AF1">
        <w:rPr>
          <w:rFonts w:cs="Times New Roman"/>
          <w:i/>
          <w:iCs/>
        </w:rPr>
        <w:t>strategic group mapping</w:t>
      </w:r>
      <w:r w:rsidRPr="008E1AF1">
        <w:rPr>
          <w:rFonts w:cs="Times New Roman"/>
        </w:rPr>
        <w:t xml:space="preserve"> adalah dua. Pertama, ia membantu manajemen mengidentifikasi pesaing terdekat secara lebih tepat, bukan sekadar mendaftar semua perusahaan dalam industri. Kedua, ia mengungkap </w:t>
      </w:r>
      <w:r w:rsidRPr="008E1AF1">
        <w:rPr>
          <w:rFonts w:cs="Times New Roman"/>
          <w:i/>
          <w:iCs/>
        </w:rPr>
        <w:t>mobility barriers</w:t>
      </w:r>
      <w:r w:rsidRPr="008E1AF1">
        <w:rPr>
          <w:rFonts w:cs="Times New Roman"/>
        </w:rPr>
        <w:t xml:space="preserve">, yaitu hambatan yang menghalangi perusahaan berpindah dari satu kelompok strategis ke kelompok lain. Hambatan ini berfungsi seperti hambatan masuk pada level industri, namun beroperasi pada level kelompok. Pemahaman atas </w:t>
      </w:r>
      <w:r w:rsidRPr="008E1AF1">
        <w:rPr>
          <w:rFonts w:cs="Times New Roman"/>
          <w:i/>
          <w:iCs/>
        </w:rPr>
        <w:t>mobility barriers</w:t>
      </w:r>
      <w:r w:rsidRPr="008E1AF1">
        <w:rPr>
          <w:rFonts w:cs="Times New Roman"/>
        </w:rPr>
        <w:t xml:space="preserve"> sangat berguna untuk merancang strategi reposisi yang realistis.</w:t>
      </w:r>
    </w:p>
    <w:p w14:paraId="41695FFA" w14:textId="77113B93" w:rsidR="00256846" w:rsidRPr="008E1AF1" w:rsidRDefault="008E1AF1" w:rsidP="008E1AF1">
      <w:pPr>
        <w:pStyle w:val="Heading2"/>
        <w:jc w:val="both"/>
        <w:rPr>
          <w:rFonts w:ascii="Times New Roman" w:hAnsi="Times New Roman" w:cs="Times New Roman"/>
        </w:rPr>
      </w:pPr>
      <w:bookmarkStart w:id="6" w:name="Xd097b53f24b6a514c0edc9c8b144575abf6f64b"/>
      <w:bookmarkEnd w:id="5"/>
      <w:r>
        <w:rPr>
          <w:rFonts w:ascii="Times New Roman" w:hAnsi="Times New Roman" w:cs="Times New Roman"/>
        </w:rPr>
        <w:lastRenderedPageBreak/>
        <w:t>5</w:t>
      </w:r>
      <w:r w:rsidR="00000000" w:rsidRPr="008E1AF1">
        <w:rPr>
          <w:rFonts w:ascii="Times New Roman" w:hAnsi="Times New Roman" w:cs="Times New Roman"/>
        </w:rPr>
        <w:t>. Driving Forces dan Dinamika Perubahan Industri</w:t>
      </w:r>
    </w:p>
    <w:p w14:paraId="0293D16A" w14:textId="77777777" w:rsidR="00256846" w:rsidRPr="008E1AF1" w:rsidRDefault="00000000" w:rsidP="008E1AF1">
      <w:pPr>
        <w:jc w:val="both"/>
        <w:rPr>
          <w:rFonts w:cs="Times New Roman"/>
        </w:rPr>
      </w:pPr>
      <w:r w:rsidRPr="008E1AF1">
        <w:rPr>
          <w:rFonts w:cs="Times New Roman"/>
        </w:rPr>
        <w:t xml:space="preserve">Setelah memahami struktur statis melalui PESTEL dan Lima Kekuatan, analisis berikutnya adalah memetakan </w:t>
      </w:r>
      <w:r w:rsidRPr="008E1AF1">
        <w:rPr>
          <w:rFonts w:cs="Times New Roman"/>
          <w:i/>
          <w:iCs/>
        </w:rPr>
        <w:t>driving forces</w:t>
      </w:r>
      <w:r w:rsidRPr="008E1AF1">
        <w:rPr>
          <w:rFonts w:cs="Times New Roman"/>
        </w:rPr>
        <w:t xml:space="preserve">, yaitu kekuatan-kekuatan yang sedang aktif mengubah struktur industri ke arah tertentu. TPGS menyebut beberapa kategori </w:t>
      </w:r>
      <w:r w:rsidRPr="008E1AF1">
        <w:rPr>
          <w:rFonts w:cs="Times New Roman"/>
          <w:i/>
          <w:iCs/>
        </w:rPr>
        <w:t>driving forces</w:t>
      </w:r>
      <w:r w:rsidRPr="008E1AF1">
        <w:rPr>
          <w:rFonts w:cs="Times New Roman"/>
        </w:rPr>
        <w:t xml:space="preserve"> yang lazim, antara lain perubahan tingkat pertumbuhan industri, perubahan demografi pelanggan, inovasi produk dan proses, perubahan biaya, perubahan regulasi, dan perubahan sikap sosial terhadap industri tertentu.</w:t>
      </w:r>
    </w:p>
    <w:p w14:paraId="7BD58FF1" w14:textId="77777777" w:rsidR="00256846" w:rsidRPr="008E1AF1" w:rsidRDefault="00000000" w:rsidP="008E1AF1">
      <w:pPr>
        <w:pStyle w:val="BodyText"/>
        <w:jc w:val="both"/>
        <w:rPr>
          <w:rFonts w:cs="Times New Roman"/>
        </w:rPr>
      </w:pPr>
      <w:r w:rsidRPr="008E1AF1">
        <w:rPr>
          <w:rFonts w:cs="Times New Roman"/>
        </w:rPr>
        <w:t xml:space="preserve">Identifikasi </w:t>
      </w:r>
      <w:r w:rsidRPr="008E1AF1">
        <w:rPr>
          <w:rFonts w:cs="Times New Roman"/>
          <w:i/>
          <w:iCs/>
        </w:rPr>
        <w:t>driving forces</w:t>
      </w:r>
      <w:r w:rsidRPr="008E1AF1">
        <w:rPr>
          <w:rFonts w:cs="Times New Roman"/>
        </w:rPr>
        <w:t xml:space="preserve"> memiliki nilai prediktif. Manajer yang dapat membaca arah perubahan dapat mengantisipasi pergeseran </w:t>
      </w:r>
      <w:r w:rsidRPr="008E1AF1">
        <w:rPr>
          <w:rFonts w:cs="Times New Roman"/>
          <w:i/>
          <w:iCs/>
        </w:rPr>
        <w:t>strategic group</w:t>
      </w:r>
      <w:r w:rsidRPr="008E1AF1">
        <w:rPr>
          <w:rFonts w:cs="Times New Roman"/>
        </w:rPr>
        <w:t xml:space="preserve"> dan posisi </w:t>
      </w:r>
      <w:r w:rsidRPr="008E1AF1">
        <w:rPr>
          <w:rFonts w:cs="Times New Roman"/>
          <w:i/>
          <w:iCs/>
        </w:rPr>
        <w:t>Lima Kekuatan</w:t>
      </w:r>
      <w:r w:rsidRPr="008E1AF1">
        <w:rPr>
          <w:rFonts w:cs="Times New Roman"/>
        </w:rPr>
        <w:t xml:space="preserve"> di masa depan, bukan sekadar bereaksi terhadap struktur saat ini. Sebagai contoh, transisi energi global adalah </w:t>
      </w:r>
      <w:r w:rsidRPr="008E1AF1">
        <w:rPr>
          <w:rFonts w:cs="Times New Roman"/>
          <w:i/>
          <w:iCs/>
        </w:rPr>
        <w:t>driving force</w:t>
      </w:r>
      <w:r w:rsidRPr="008E1AF1">
        <w:rPr>
          <w:rFonts w:cs="Times New Roman"/>
        </w:rPr>
        <w:t xml:space="preserve"> yang akan mengubah seluruh peta industri otomotif Indonesia dalam satu dekade mendatang. Pemain yang mengantisipasi pergeseran ini sejak dini, seperti Astra International dengan kemitraannya bersama BYD dan investasi pada infrastruktur pengisian, akan berada pada posisi yang lebih kuat saat lanskap baru terbentuk.</w:t>
      </w:r>
    </w:p>
    <w:p w14:paraId="4B0018D9" w14:textId="77777777" w:rsidR="00256846" w:rsidRPr="008E1AF1" w:rsidRDefault="00000000" w:rsidP="008E1AF1">
      <w:pPr>
        <w:pStyle w:val="BodyText"/>
        <w:jc w:val="both"/>
        <w:rPr>
          <w:rFonts w:cs="Times New Roman"/>
        </w:rPr>
      </w:pPr>
      <w:r w:rsidRPr="008E1AF1">
        <w:rPr>
          <w:rFonts w:cs="Times New Roman"/>
        </w:rPr>
        <w:t xml:space="preserve">Henry (2021) menyebut bahwa kemampuan membaca </w:t>
      </w:r>
      <w:r w:rsidRPr="008E1AF1">
        <w:rPr>
          <w:rFonts w:cs="Times New Roman"/>
          <w:i/>
          <w:iCs/>
        </w:rPr>
        <w:t>driving forces</w:t>
      </w:r>
      <w:r w:rsidRPr="008E1AF1">
        <w:rPr>
          <w:rFonts w:cs="Times New Roman"/>
        </w:rPr>
        <w:t xml:space="preserve"> adalah salah satu kapabilitas kognitif manajemen puncak yang paling sulit dilatih. Ia membutuhkan kombinasi pengetahuan industri yang dalam, pemahaman atas </w:t>
      </w:r>
      <w:r w:rsidRPr="008E1AF1">
        <w:rPr>
          <w:rFonts w:cs="Times New Roman"/>
          <w:i/>
          <w:iCs/>
        </w:rPr>
        <w:t>macro-environment</w:t>
      </w:r>
      <w:r w:rsidRPr="008E1AF1">
        <w:rPr>
          <w:rFonts w:cs="Times New Roman"/>
        </w:rPr>
        <w:t>, dan keberanian intelektual untuk meragukan asumsi yang sedang dominan di industri.</w:t>
      </w:r>
    </w:p>
    <w:p w14:paraId="5DC616D2" w14:textId="6123CAE7" w:rsidR="00256846" w:rsidRPr="008E1AF1" w:rsidRDefault="008E1AF1" w:rsidP="008E1AF1">
      <w:pPr>
        <w:pStyle w:val="Heading2"/>
        <w:jc w:val="both"/>
        <w:rPr>
          <w:rFonts w:ascii="Times New Roman" w:hAnsi="Times New Roman" w:cs="Times New Roman"/>
        </w:rPr>
      </w:pPr>
      <w:bookmarkStart w:id="7" w:name="Xfa3568a99fe7fd142d9b9ceac9ab15f9fba98cd"/>
      <w:bookmarkEnd w:id="6"/>
      <w:r>
        <w:rPr>
          <w:rFonts w:ascii="Times New Roman" w:hAnsi="Times New Roman" w:cs="Times New Roman"/>
        </w:rPr>
        <w:t>6</w:t>
      </w:r>
      <w:r w:rsidR="00000000" w:rsidRPr="008E1AF1">
        <w:rPr>
          <w:rFonts w:ascii="Times New Roman" w:hAnsi="Times New Roman" w:cs="Times New Roman"/>
        </w:rPr>
        <w:t>. Key Success Factors: Apa yang Harus Dimenangkan</w:t>
      </w:r>
    </w:p>
    <w:p w14:paraId="136655E7" w14:textId="77777777" w:rsidR="00256846" w:rsidRPr="008E1AF1" w:rsidRDefault="00000000" w:rsidP="008E1AF1">
      <w:pPr>
        <w:jc w:val="both"/>
        <w:rPr>
          <w:rFonts w:cs="Times New Roman"/>
        </w:rPr>
      </w:pPr>
      <w:r w:rsidRPr="008E1AF1">
        <w:rPr>
          <w:rFonts w:cs="Times New Roman"/>
          <w:i/>
          <w:iCs/>
        </w:rPr>
        <w:t>Key success factors</w:t>
      </w:r>
      <w:r w:rsidRPr="008E1AF1">
        <w:rPr>
          <w:rFonts w:cs="Times New Roman"/>
        </w:rPr>
        <w:t xml:space="preserve"> (KSF) adalah faktor-faktor yang harus dimenangkan oleh perusahaan agar dapat bersaing secara efektif dalam industrinya. KSF berbeda dari satu industri ke industri lain dan, dalam industri yang sama, dapat berubah seiring waktu sesuai dengan pergeseran </w:t>
      </w:r>
      <w:r w:rsidRPr="008E1AF1">
        <w:rPr>
          <w:rFonts w:cs="Times New Roman"/>
          <w:i/>
          <w:iCs/>
        </w:rPr>
        <w:t>driving forces</w:t>
      </w:r>
      <w:r w:rsidRPr="008E1AF1">
        <w:rPr>
          <w:rFonts w:cs="Times New Roman"/>
        </w:rPr>
        <w:t>.</w:t>
      </w:r>
    </w:p>
    <w:p w14:paraId="57FA29B3" w14:textId="77777777" w:rsidR="00256846" w:rsidRPr="008E1AF1" w:rsidRDefault="00000000" w:rsidP="008E1AF1">
      <w:pPr>
        <w:pStyle w:val="BodyText"/>
        <w:jc w:val="both"/>
        <w:rPr>
          <w:rFonts w:cs="Times New Roman"/>
        </w:rPr>
      </w:pPr>
      <w:r w:rsidRPr="008E1AF1">
        <w:rPr>
          <w:rFonts w:cs="Times New Roman"/>
        </w:rPr>
        <w:t>KSF dalam industri ritel modern Indonesia, misalnya, mencakup efisiensi rantai pasok, kepadatan jaringan toko, manajemen kategori produk, kemampuan memahami pola belanja pelanggan, dan ketepatan harga relatif terhadap kompetitor. Sebaliknya, KSF dalam industri perbankan ritel mencakup stabilitas dana murah, jaringan layanan digital, kualitas manajemen risiko kredit, serta kepercayaan publik yang dibangun lewat tata kelola yang konsisten.</w:t>
      </w:r>
    </w:p>
    <w:p w14:paraId="331EAD5E" w14:textId="77777777" w:rsidR="00256846" w:rsidRPr="008E1AF1" w:rsidRDefault="00000000" w:rsidP="008E1AF1">
      <w:pPr>
        <w:pStyle w:val="BodyText"/>
        <w:jc w:val="both"/>
        <w:rPr>
          <w:rFonts w:cs="Times New Roman"/>
          <w:lang w:val="fi-FI"/>
        </w:rPr>
      </w:pPr>
      <w:r w:rsidRPr="008E1AF1">
        <w:rPr>
          <w:rFonts w:cs="Times New Roman"/>
          <w:lang w:val="fi-FI"/>
        </w:rPr>
        <w:t xml:space="preserve">Manfaat utama identifikasi KSF adalah kejelasan prioritas. Manajemen yang mengetahui faktor-faktor mana yang benar-benar menentukan keberhasilan akan lebih disiplin dalam mengalokasikan sumber daya dan menghindari godaan untuk menjadi unggul di semua </w:t>
      </w:r>
      <w:r w:rsidRPr="008E1AF1">
        <w:rPr>
          <w:rFonts w:cs="Times New Roman"/>
          <w:lang w:val="fi-FI"/>
        </w:rPr>
        <w:lastRenderedPageBreak/>
        <w:t>dimensi sekaligus, sebuah ambisi yang umumnya berakhir pada keunggulan di tidak satupun dimensi.</w:t>
      </w:r>
    </w:p>
    <w:p w14:paraId="3AEDB3DC" w14:textId="38CF5BEA" w:rsidR="00256846" w:rsidRPr="008E1AF1" w:rsidRDefault="008E1AF1" w:rsidP="008E1AF1">
      <w:pPr>
        <w:pStyle w:val="Heading2"/>
        <w:jc w:val="both"/>
        <w:rPr>
          <w:rFonts w:ascii="Times New Roman" w:hAnsi="Times New Roman" w:cs="Times New Roman"/>
          <w:lang w:val="fi-FI"/>
        </w:rPr>
      </w:pPr>
      <w:bookmarkStart w:id="8" w:name="X4d2724f5363e653d21ff41d7c93b8898025b2fe"/>
      <w:bookmarkEnd w:id="7"/>
      <w:r>
        <w:rPr>
          <w:rFonts w:ascii="Times New Roman" w:hAnsi="Times New Roman" w:cs="Times New Roman"/>
          <w:lang w:val="fi-FI"/>
        </w:rPr>
        <w:t>7</w:t>
      </w:r>
      <w:r w:rsidR="00000000" w:rsidRPr="008E1AF1">
        <w:rPr>
          <w:rFonts w:ascii="Times New Roman" w:hAnsi="Times New Roman" w:cs="Times New Roman"/>
          <w:lang w:val="fi-FI"/>
        </w:rPr>
        <w:t>. Industry Attractiveness dan Implikasi Strategis</w:t>
      </w:r>
    </w:p>
    <w:p w14:paraId="4C19C80D" w14:textId="77777777" w:rsidR="00256846" w:rsidRPr="008E1AF1" w:rsidRDefault="00000000" w:rsidP="008E1AF1">
      <w:pPr>
        <w:jc w:val="both"/>
        <w:rPr>
          <w:rFonts w:cs="Times New Roman"/>
          <w:lang w:val="fi-FI"/>
        </w:rPr>
      </w:pPr>
      <w:r w:rsidRPr="008E1AF1">
        <w:rPr>
          <w:rFonts w:cs="Times New Roman"/>
          <w:lang w:val="fi-FI"/>
        </w:rPr>
        <w:t xml:space="preserve">Setelah menyelesaikan keseluruhan analisis lingkungan eksternal, manajer perlu menyusun penilaian terpadu atas daya tarik industri. TPGS menyarankan beberapa pertanyaan kunci yang harus dijawab. Apakah industri ini sedang tumbuh, stabil, atau menyusut? Apakah profitabilitas rata-rata cukup menarik dibanding biaya modal? Apakah </w:t>
      </w:r>
      <w:r w:rsidRPr="008E1AF1">
        <w:rPr>
          <w:rFonts w:cs="Times New Roman"/>
          <w:i/>
          <w:iCs/>
          <w:lang w:val="fi-FI"/>
        </w:rPr>
        <w:t>driving forces</w:t>
      </w:r>
      <w:r w:rsidRPr="008E1AF1">
        <w:rPr>
          <w:rFonts w:cs="Times New Roman"/>
          <w:lang w:val="fi-FI"/>
        </w:rPr>
        <w:t xml:space="preserve"> yang sedang aktif membuat industri menjadi lebih atau kurang menarik di masa depan? Apakah perusahaan memiliki posisi kompetitif yang cukup baik untuk memenangkan KSF?</w:t>
      </w:r>
    </w:p>
    <w:p w14:paraId="141C7F5B" w14:textId="77777777" w:rsidR="00256846" w:rsidRPr="008E1AF1" w:rsidRDefault="00000000" w:rsidP="008E1AF1">
      <w:pPr>
        <w:pStyle w:val="BodyText"/>
        <w:jc w:val="both"/>
        <w:rPr>
          <w:rFonts w:cs="Times New Roman"/>
          <w:lang w:val="fi-FI"/>
        </w:rPr>
      </w:pPr>
      <w:r w:rsidRPr="008E1AF1">
        <w:rPr>
          <w:rFonts w:cs="Times New Roman"/>
          <w:lang w:val="fi-FI"/>
        </w:rPr>
        <w:t xml:space="preserve">Jawaban atas pertanyaan-pertanyaan ini menentukan apakah strategi yang tepat adalah ekspansi agresif, konsolidasi posisi, </w:t>
      </w:r>
      <w:r w:rsidRPr="008E1AF1">
        <w:rPr>
          <w:rFonts w:cs="Times New Roman"/>
          <w:i/>
          <w:iCs/>
          <w:lang w:val="fi-FI"/>
        </w:rPr>
        <w:t>harvesting</w:t>
      </w:r>
      <w:r w:rsidRPr="008E1AF1">
        <w:rPr>
          <w:rFonts w:cs="Times New Roman"/>
          <w:lang w:val="fi-FI"/>
        </w:rPr>
        <w:t>, atau bahkan keluar dari industri. Salah satu kesalahan paling sering dibuat manajer adalah berinvestasi dalam industri yang menarik secara absolut namun tidak menarik bagi perusahaannya secara relatif, atau sebaliknya bertahan dalam industri yang sudah kehilangan daya tariknya secara struktural karena keterikatan emosional pada bisnis warisan.</w:t>
      </w:r>
    </w:p>
    <w:p w14:paraId="244E775D" w14:textId="2A7AAE9C" w:rsidR="00256846" w:rsidRPr="008E1AF1" w:rsidRDefault="008E1AF1" w:rsidP="008E1AF1">
      <w:pPr>
        <w:pStyle w:val="Heading2"/>
        <w:jc w:val="both"/>
        <w:rPr>
          <w:rFonts w:ascii="Times New Roman" w:hAnsi="Times New Roman" w:cs="Times New Roman"/>
          <w:lang w:val="fi-FI"/>
        </w:rPr>
      </w:pPr>
      <w:bookmarkStart w:id="9" w:name="hubungan-dengan-artikel-pendamping"/>
      <w:bookmarkEnd w:id="8"/>
      <w:r>
        <w:rPr>
          <w:rFonts w:ascii="Times New Roman" w:hAnsi="Times New Roman" w:cs="Times New Roman"/>
          <w:lang w:val="fi-FI"/>
        </w:rPr>
        <w:t>8</w:t>
      </w:r>
      <w:r w:rsidR="00000000" w:rsidRPr="008E1AF1">
        <w:rPr>
          <w:rFonts w:ascii="Times New Roman" w:hAnsi="Times New Roman" w:cs="Times New Roman"/>
          <w:lang w:val="fi-FI"/>
        </w:rPr>
        <w:t>. Hubungan dengan Artikel Pendamping</w:t>
      </w:r>
    </w:p>
    <w:p w14:paraId="7145F230" w14:textId="1321CC22" w:rsidR="00256846" w:rsidRPr="008E1AF1" w:rsidRDefault="008E1AF1" w:rsidP="008E1AF1">
      <w:pPr>
        <w:pStyle w:val="Heading3"/>
        <w:jc w:val="both"/>
        <w:rPr>
          <w:rFonts w:ascii="Times New Roman" w:hAnsi="Times New Roman" w:cs="Times New Roman"/>
          <w:lang w:val="fi-FI"/>
        </w:rPr>
      </w:pPr>
      <w:bookmarkStart w:id="10" w:name="X51d523ec9cc19d9513afac03d97b2515b4313e1"/>
      <w:r>
        <w:rPr>
          <w:rFonts w:ascii="Times New Roman" w:hAnsi="Times New Roman" w:cs="Times New Roman"/>
          <w:lang w:val="fi-FI"/>
        </w:rPr>
        <w:t>8</w:t>
      </w:r>
      <w:r w:rsidR="00000000" w:rsidRPr="008E1AF1">
        <w:rPr>
          <w:rFonts w:ascii="Times New Roman" w:hAnsi="Times New Roman" w:cs="Times New Roman"/>
          <w:lang w:val="fi-FI"/>
        </w:rPr>
        <w:t>.1 Newman, Rand, Tarp, dan Trifkovic (2020) — CSR di Lingkungan Bisnis Kompetitif</w:t>
      </w:r>
    </w:p>
    <w:p w14:paraId="23691F9D" w14:textId="77777777" w:rsidR="00256846" w:rsidRPr="008E1AF1" w:rsidRDefault="00000000" w:rsidP="008E1AF1">
      <w:pPr>
        <w:jc w:val="both"/>
        <w:rPr>
          <w:rFonts w:cs="Times New Roman"/>
          <w:lang w:val="da-DK"/>
        </w:rPr>
      </w:pPr>
      <w:r w:rsidRPr="008E1AF1">
        <w:rPr>
          <w:rFonts w:cs="Times New Roman"/>
          <w:lang w:val="fi-FI"/>
        </w:rPr>
        <w:t xml:space="preserve">Artikel Newman et al. (2020) memperluas pembahasan lingkungan eksternal dengan satu pertanyaan yang sangat relevan secara strategis: apakah hubungan antara </w:t>
      </w:r>
      <w:r w:rsidRPr="008E1AF1">
        <w:rPr>
          <w:rFonts w:cs="Times New Roman"/>
          <w:i/>
          <w:iCs/>
          <w:lang w:val="fi-FI"/>
        </w:rPr>
        <w:t>Corporate Social Responsibility</w:t>
      </w:r>
      <w:r w:rsidRPr="008E1AF1">
        <w:rPr>
          <w:rFonts w:cs="Times New Roman"/>
          <w:lang w:val="fi-FI"/>
        </w:rPr>
        <w:t xml:space="preserve"> dengan kinerja perusahaan berbeda di industri yang kompetitif dibandingkan industri yang terkonsentrasi? Menggunakan data panel atas lebih dari 5.000 perusahaan manufaktur Vietnam selama 2011 hingga 2014, mereka menemukan tiga hasil utama. </w:t>
      </w:r>
      <w:r w:rsidRPr="008E1AF1">
        <w:rPr>
          <w:rFonts w:cs="Times New Roman"/>
          <w:lang w:val="pt-BR"/>
        </w:rPr>
        <w:t xml:space="preserve">Pertama, terdapat hubungan positif antara adopsi CSR dengan produktivitas tenaga kerja. </w:t>
      </w:r>
      <w:r w:rsidRPr="008E1AF1">
        <w:rPr>
          <w:rFonts w:cs="Times New Roman"/>
          <w:lang w:val="da-DK"/>
        </w:rPr>
        <w:t>Kedua, hubungan ini lebih kuat di industri yang kurang kompetitif (HHI tinggi). Ketiga, dampak agregat sebagian besar didorong oleh CSR yang berorientasi pada komunitas lokal, bukan oleh CSR berbasis manajemen formal seperti dokumen kebijakan dan sertifikasi.</w:t>
      </w:r>
    </w:p>
    <w:p w14:paraId="12EE8D66" w14:textId="77777777" w:rsidR="00256846" w:rsidRPr="008E1AF1" w:rsidRDefault="00000000" w:rsidP="008E1AF1">
      <w:pPr>
        <w:pStyle w:val="BodyText"/>
        <w:jc w:val="both"/>
        <w:rPr>
          <w:rFonts w:cs="Times New Roman"/>
          <w:lang w:val="da-DK"/>
        </w:rPr>
      </w:pPr>
      <w:r w:rsidRPr="008E1AF1">
        <w:rPr>
          <w:rFonts w:cs="Times New Roman"/>
          <w:lang w:val="da-DK"/>
        </w:rPr>
        <w:t xml:space="preserve">Implikasi artikel ini bagi pembahasan Pertemuan 3 cukup mendasar. Analisis Lima Kekuatan Porter biasanya tidak secara eksplisit memperhitungkan posisi sosial perusahaan dalam komunitasnya. Newman et al. menyiratkan bahwa di industri yang lebih terkonsentrasi, di mana tekanan kompetisi tidak berfungsi sebagai disiplin yang efektif terhadap manajemen, CSR berfungsi sebagai mekanisme alternatif yang menghasilkan dampak produktivitas yang </w:t>
      </w:r>
      <w:r w:rsidRPr="008E1AF1">
        <w:rPr>
          <w:rFonts w:cs="Times New Roman"/>
          <w:lang w:val="da-DK"/>
        </w:rPr>
        <w:lastRenderedPageBreak/>
        <w:t xml:space="preserve">nyata. Ini adalah perluasan empiris atas argumen Porter dan Kramer (2002) tentang </w:t>
      </w:r>
      <w:r w:rsidRPr="008E1AF1">
        <w:rPr>
          <w:rFonts w:cs="Times New Roman"/>
          <w:i/>
          <w:iCs/>
          <w:lang w:val="da-DK"/>
        </w:rPr>
        <w:t>strategic CSR</w:t>
      </w:r>
      <w:r w:rsidRPr="008E1AF1">
        <w:rPr>
          <w:rFonts w:cs="Times New Roman"/>
          <w:lang w:val="da-DK"/>
        </w:rPr>
        <w:t>.</w:t>
      </w:r>
    </w:p>
    <w:p w14:paraId="64B340D8" w14:textId="4188C616" w:rsidR="00256846" w:rsidRPr="008E1AF1" w:rsidRDefault="008E1AF1" w:rsidP="008E1AF1">
      <w:pPr>
        <w:pStyle w:val="Heading3"/>
        <w:jc w:val="both"/>
        <w:rPr>
          <w:rFonts w:ascii="Times New Roman" w:hAnsi="Times New Roman" w:cs="Times New Roman"/>
          <w:lang w:val="da-DK"/>
        </w:rPr>
      </w:pPr>
      <w:bookmarkStart w:id="11" w:name="X77e6c33e2e278f5f85df661c3d07b95a65a8261"/>
      <w:bookmarkEnd w:id="10"/>
      <w:r>
        <w:rPr>
          <w:rFonts w:ascii="Times New Roman" w:hAnsi="Times New Roman" w:cs="Times New Roman"/>
          <w:lang w:val="da-DK"/>
        </w:rPr>
        <w:t>8</w:t>
      </w:r>
      <w:r w:rsidR="00000000" w:rsidRPr="008E1AF1">
        <w:rPr>
          <w:rFonts w:ascii="Times New Roman" w:hAnsi="Times New Roman" w:cs="Times New Roman"/>
          <w:lang w:val="da-DK"/>
        </w:rPr>
        <w:t xml:space="preserve">.2 Mason (2007) — Lingkungan Eksternal sebagai </w:t>
      </w:r>
      <w:r w:rsidR="00000000" w:rsidRPr="008E1AF1">
        <w:rPr>
          <w:rFonts w:ascii="Times New Roman" w:hAnsi="Times New Roman" w:cs="Times New Roman"/>
          <w:iCs/>
          <w:lang w:val="da-DK"/>
        </w:rPr>
        <w:t>Complex Adaptive System</w:t>
      </w:r>
    </w:p>
    <w:p w14:paraId="4BCB808D" w14:textId="77777777" w:rsidR="00256846" w:rsidRPr="008E1AF1" w:rsidRDefault="00000000" w:rsidP="008E1AF1">
      <w:pPr>
        <w:jc w:val="both"/>
        <w:rPr>
          <w:rFonts w:cs="Times New Roman"/>
          <w:lang w:val="da-DK"/>
        </w:rPr>
      </w:pPr>
      <w:r w:rsidRPr="008E1AF1">
        <w:rPr>
          <w:rFonts w:cs="Times New Roman"/>
          <w:lang w:val="da-DK"/>
        </w:rPr>
        <w:t xml:space="preserve">Artikel Mason (2007) menempuh jalur yang lebih radikal secara konseptual. Ia mempersoalkan asumsi dasar di balik kerangka analisis konvensional seperti PESTEL dan Lima Kekuatan Porter, yaitu bahwa lingkungan dapat dipahami sebagai struktur yang relatif stabil dan dapat dipetakan secara linier. Mason berargumen bahwa lingkungan bisnis lebih tepat diperlakukan sebagai </w:t>
      </w:r>
      <w:r w:rsidRPr="008E1AF1">
        <w:rPr>
          <w:rFonts w:cs="Times New Roman"/>
          <w:i/>
          <w:iCs/>
          <w:lang w:val="da-DK"/>
        </w:rPr>
        <w:t>complex adaptive system</w:t>
      </w:r>
      <w:r w:rsidRPr="008E1AF1">
        <w:rPr>
          <w:rFonts w:cs="Times New Roman"/>
          <w:lang w:val="da-DK"/>
        </w:rPr>
        <w:t xml:space="preserve"> (CAS) yang ditandai oleh sifat </w:t>
      </w:r>
      <w:r w:rsidRPr="008E1AF1">
        <w:rPr>
          <w:rFonts w:cs="Times New Roman"/>
          <w:i/>
          <w:iCs/>
          <w:lang w:val="da-DK"/>
        </w:rPr>
        <w:t>self-organising</w:t>
      </w:r>
      <w:r w:rsidRPr="008E1AF1">
        <w:rPr>
          <w:rFonts w:cs="Times New Roman"/>
          <w:lang w:val="da-DK"/>
        </w:rPr>
        <w:t xml:space="preserve">, </w:t>
      </w:r>
      <w:r w:rsidRPr="008E1AF1">
        <w:rPr>
          <w:rFonts w:cs="Times New Roman"/>
          <w:i/>
          <w:iCs/>
          <w:lang w:val="da-DK"/>
        </w:rPr>
        <w:t>emergent</w:t>
      </w:r>
      <w:r w:rsidRPr="008E1AF1">
        <w:rPr>
          <w:rFonts w:cs="Times New Roman"/>
          <w:lang w:val="da-DK"/>
        </w:rPr>
        <w:t xml:space="preserve">, </w:t>
      </w:r>
      <w:r w:rsidRPr="008E1AF1">
        <w:rPr>
          <w:rFonts w:cs="Times New Roman"/>
          <w:i/>
          <w:iCs/>
          <w:lang w:val="da-DK"/>
        </w:rPr>
        <w:t>non-linear</w:t>
      </w:r>
      <w:r w:rsidRPr="008E1AF1">
        <w:rPr>
          <w:rFonts w:cs="Times New Roman"/>
          <w:lang w:val="da-DK"/>
        </w:rPr>
        <w:t xml:space="preserve">, dan </w:t>
      </w:r>
      <w:r w:rsidRPr="008E1AF1">
        <w:rPr>
          <w:rFonts w:cs="Times New Roman"/>
          <w:i/>
          <w:iCs/>
          <w:lang w:val="da-DK"/>
        </w:rPr>
        <w:t>sensitive dependence on initial conditions</w:t>
      </w:r>
      <w:r w:rsidRPr="008E1AF1">
        <w:rPr>
          <w:rFonts w:cs="Times New Roman"/>
          <w:lang w:val="da-DK"/>
        </w:rPr>
        <w:t>.</w:t>
      </w:r>
    </w:p>
    <w:p w14:paraId="590F7225" w14:textId="77777777" w:rsidR="00256846" w:rsidRPr="008E1AF1" w:rsidRDefault="00000000" w:rsidP="008E1AF1">
      <w:pPr>
        <w:pStyle w:val="BodyText"/>
        <w:jc w:val="both"/>
        <w:rPr>
          <w:rFonts w:cs="Times New Roman"/>
          <w:lang w:val="da-DK"/>
        </w:rPr>
      </w:pPr>
      <w:r w:rsidRPr="008E1AF1">
        <w:rPr>
          <w:rFonts w:cs="Times New Roman"/>
          <w:lang w:val="da-DK"/>
        </w:rPr>
        <w:t xml:space="preserve">Implikasi argumen Mason adalah bahwa pada lingkungan yang turbulen dan kompleks, perusahaan yang lebih sukses bukan yang melakukan perencanaan formal yang paling rigi, melainkan yang menjalankan strategi </w:t>
      </w:r>
      <w:r w:rsidRPr="008E1AF1">
        <w:rPr>
          <w:rFonts w:cs="Times New Roman"/>
          <w:i/>
          <w:iCs/>
          <w:lang w:val="da-DK"/>
        </w:rPr>
        <w:t>emergent</w:t>
      </w:r>
      <w:r w:rsidRPr="008E1AF1">
        <w:rPr>
          <w:rFonts w:cs="Times New Roman"/>
          <w:lang w:val="da-DK"/>
        </w:rPr>
        <w:t xml:space="preserve"> dengan kepemimpinan yang memungkinkan adaptasi dari bawah ke atas. Pengujian propositif Mason terhadap empat perusahaan di Afrika Selatan, dua di industri TI yang turbulen dan dua di industri kemasan yang relatif stabil, mendukung sebagian klaim ini. Perusahaan yang lebih sukses di lingkungan turbulen memang menampilkan ciri </w:t>
      </w:r>
      <w:r w:rsidRPr="008E1AF1">
        <w:rPr>
          <w:rFonts w:cs="Times New Roman"/>
          <w:i/>
          <w:iCs/>
          <w:lang w:val="da-DK"/>
        </w:rPr>
        <w:t>self-organising</w:t>
      </w:r>
      <w:r w:rsidRPr="008E1AF1">
        <w:rPr>
          <w:rFonts w:cs="Times New Roman"/>
          <w:lang w:val="da-DK"/>
        </w:rPr>
        <w:t xml:space="preserve"> dan strategi </w:t>
      </w:r>
      <w:r w:rsidRPr="008E1AF1">
        <w:rPr>
          <w:rFonts w:cs="Times New Roman"/>
          <w:i/>
          <w:iCs/>
          <w:lang w:val="da-DK"/>
        </w:rPr>
        <w:t>emergent</w:t>
      </w:r>
      <w:r w:rsidRPr="008E1AF1">
        <w:rPr>
          <w:rFonts w:cs="Times New Roman"/>
          <w:lang w:val="da-DK"/>
        </w:rPr>
        <w:t>. Yang menarik, perusahaan yang lebih sukses di industri “stabil” pun ternyata berperilaku mirip perusahaan di industri turbulen, yang oleh Mason ditafsirkan sebagai indikasi bahwa lingkungan benar-benar stabil mungkin sudah tidak ada lagi pada konteks Afrika Selatan kontemporer.</w:t>
      </w:r>
    </w:p>
    <w:p w14:paraId="409AD5E0" w14:textId="77777777" w:rsidR="00256846" w:rsidRPr="008E1AF1" w:rsidRDefault="00000000" w:rsidP="008E1AF1">
      <w:pPr>
        <w:pStyle w:val="BodyText"/>
        <w:jc w:val="both"/>
        <w:rPr>
          <w:rFonts w:cs="Times New Roman"/>
          <w:lang w:val="da-DK"/>
        </w:rPr>
      </w:pPr>
      <w:r w:rsidRPr="008E1AF1">
        <w:rPr>
          <w:rFonts w:cs="Times New Roman"/>
          <w:lang w:val="da-DK"/>
        </w:rPr>
        <w:t>Kedua artikel ini, meski berangkat dari sudut pandang yang berbeda, mengirim pesan yang konvergen kepada mahasiswa: pembacaan lingkungan eksternal tidak boleh berhenti pada penyusunan daftar PESTEL dan diagram Lima Kekuatan. Newman et al. mengingatkan bahwa konteks sosial tempat perusahaan beroperasi adalah variabel strategis yang nyata. Mason mengingatkan bahwa lingkungan adalah sistem yang dinamis dan saling memengaruhi, sehingga perencanaan strategis harus mempertahankan ruang bagi pembelajaran dan adaptasi yang terus-menerus.</w:t>
      </w:r>
    </w:p>
    <w:p w14:paraId="0F0BC373" w14:textId="761B443A" w:rsidR="00256846" w:rsidRPr="008E1AF1" w:rsidRDefault="008E1AF1" w:rsidP="008E1AF1">
      <w:pPr>
        <w:pStyle w:val="Heading2"/>
        <w:jc w:val="both"/>
        <w:rPr>
          <w:rFonts w:ascii="Times New Roman" w:hAnsi="Times New Roman" w:cs="Times New Roman"/>
          <w:lang w:val="da-DK"/>
        </w:rPr>
      </w:pPr>
      <w:bookmarkStart w:id="12" w:name="X9f7c376927b8a00aaf5854ae99fcf7b54837db4"/>
      <w:bookmarkEnd w:id="9"/>
      <w:bookmarkEnd w:id="11"/>
      <w:r>
        <w:rPr>
          <w:rFonts w:ascii="Times New Roman" w:hAnsi="Times New Roman" w:cs="Times New Roman"/>
          <w:lang w:val="da-DK"/>
        </w:rPr>
        <w:t>9</w:t>
      </w:r>
      <w:r w:rsidR="00000000" w:rsidRPr="008E1AF1">
        <w:rPr>
          <w:rFonts w:ascii="Times New Roman" w:hAnsi="Times New Roman" w:cs="Times New Roman"/>
          <w:lang w:val="da-DK"/>
        </w:rPr>
        <w:t>. Implikasi bagi Manajemen Strategik dan Profesi Akuntansi</w:t>
      </w:r>
    </w:p>
    <w:p w14:paraId="5155DAC8" w14:textId="77777777" w:rsidR="00256846" w:rsidRPr="008E1AF1" w:rsidRDefault="00000000" w:rsidP="008E1AF1">
      <w:pPr>
        <w:jc w:val="both"/>
        <w:rPr>
          <w:rFonts w:cs="Times New Roman"/>
          <w:lang w:val="da-DK"/>
        </w:rPr>
      </w:pPr>
      <w:r w:rsidRPr="008E1AF1">
        <w:rPr>
          <w:rFonts w:cs="Times New Roman"/>
          <w:lang w:val="da-DK"/>
        </w:rPr>
        <w:t>Materi Pertemuan 3 memiliki tiga implikasi yang patut digarisbawahi bagi mahasiswa Magister Akuntansi.</w:t>
      </w:r>
    </w:p>
    <w:p w14:paraId="65B719D9" w14:textId="77777777" w:rsidR="00256846" w:rsidRPr="008E1AF1" w:rsidRDefault="00000000" w:rsidP="008E1AF1">
      <w:pPr>
        <w:pStyle w:val="BodyText"/>
        <w:jc w:val="both"/>
        <w:rPr>
          <w:rFonts w:cs="Times New Roman"/>
          <w:lang w:val="da-DK"/>
        </w:rPr>
      </w:pPr>
      <w:r w:rsidRPr="008E1AF1">
        <w:rPr>
          <w:rFonts w:cs="Times New Roman"/>
          <w:b/>
          <w:bCs/>
          <w:lang w:val="da-DK"/>
        </w:rPr>
        <w:t>Pertama</w:t>
      </w:r>
      <w:r w:rsidRPr="008E1AF1">
        <w:rPr>
          <w:rFonts w:cs="Times New Roman"/>
          <w:lang w:val="da-DK"/>
        </w:rPr>
        <w:t xml:space="preserve">, kualitas asumsi adalah penentu kualitas estimasi. Asumsi pertumbuhan, asumsi tingkat diskonto, asumsi </w:t>
      </w:r>
      <w:r w:rsidRPr="008E1AF1">
        <w:rPr>
          <w:rFonts w:cs="Times New Roman"/>
          <w:i/>
          <w:iCs/>
          <w:lang w:val="da-DK"/>
        </w:rPr>
        <w:t>terminal value</w:t>
      </w:r>
      <w:r w:rsidRPr="008E1AF1">
        <w:rPr>
          <w:rFonts w:cs="Times New Roman"/>
          <w:lang w:val="da-DK"/>
        </w:rPr>
        <w:t xml:space="preserve">, dan asumsi tingkat persaingan industri yang digunakan dalam pengujian </w:t>
      </w:r>
      <w:r w:rsidRPr="008E1AF1">
        <w:rPr>
          <w:rFonts w:cs="Times New Roman"/>
          <w:i/>
          <w:iCs/>
          <w:lang w:val="da-DK"/>
        </w:rPr>
        <w:t>impairment</w:t>
      </w:r>
      <w:r w:rsidRPr="008E1AF1">
        <w:rPr>
          <w:rFonts w:cs="Times New Roman"/>
          <w:lang w:val="da-DK"/>
        </w:rPr>
        <w:t xml:space="preserve"> aset, valuasi </w:t>
      </w:r>
      <w:r w:rsidRPr="008E1AF1">
        <w:rPr>
          <w:rFonts w:cs="Times New Roman"/>
          <w:i/>
          <w:iCs/>
          <w:lang w:val="da-DK"/>
        </w:rPr>
        <w:t>fair value</w:t>
      </w:r>
      <w:r w:rsidRPr="008E1AF1">
        <w:rPr>
          <w:rFonts w:cs="Times New Roman"/>
          <w:lang w:val="da-DK"/>
        </w:rPr>
        <w:t xml:space="preserve">, dan </w:t>
      </w:r>
      <w:r w:rsidRPr="008E1AF1">
        <w:rPr>
          <w:rFonts w:cs="Times New Roman"/>
          <w:i/>
          <w:iCs/>
          <w:lang w:val="da-DK"/>
        </w:rPr>
        <w:t>audit going concern</w:t>
      </w:r>
      <w:r w:rsidRPr="008E1AF1">
        <w:rPr>
          <w:rFonts w:cs="Times New Roman"/>
          <w:lang w:val="da-DK"/>
        </w:rPr>
        <w:t xml:space="preserve"> </w:t>
      </w:r>
      <w:r w:rsidRPr="008E1AF1">
        <w:rPr>
          <w:rFonts w:cs="Times New Roman"/>
          <w:lang w:val="da-DK"/>
        </w:rPr>
        <w:lastRenderedPageBreak/>
        <w:t>sesungguhnya adalah pernyataan tentang lingkungan eksternal. Akuntan yang membaca lingkungan secara mendalam akan menghasilkan estimasi yang lebih kredibel dan lebih dapat dipertanggungjawabkan secara profesional.</w:t>
      </w:r>
    </w:p>
    <w:p w14:paraId="3C6788F4" w14:textId="77777777" w:rsidR="00256846" w:rsidRPr="008E1AF1" w:rsidRDefault="00000000" w:rsidP="008E1AF1">
      <w:pPr>
        <w:pStyle w:val="BodyText"/>
        <w:jc w:val="both"/>
        <w:rPr>
          <w:rFonts w:cs="Times New Roman"/>
          <w:lang w:val="fi-FI"/>
        </w:rPr>
      </w:pPr>
      <w:r w:rsidRPr="008E1AF1">
        <w:rPr>
          <w:rFonts w:cs="Times New Roman"/>
          <w:b/>
          <w:bCs/>
          <w:lang w:val="fi-FI"/>
        </w:rPr>
        <w:t>Kedua</w:t>
      </w:r>
      <w:r w:rsidRPr="008E1AF1">
        <w:rPr>
          <w:rFonts w:cs="Times New Roman"/>
          <w:lang w:val="fi-FI"/>
        </w:rPr>
        <w:t>, identifikasi risiko material membutuhkan kerangka analisis lingkungan yang utuh. Audit berbasis risiko (</w:t>
      </w:r>
      <w:r w:rsidRPr="008E1AF1">
        <w:rPr>
          <w:rFonts w:cs="Times New Roman"/>
          <w:i/>
          <w:iCs/>
          <w:lang w:val="fi-FI"/>
        </w:rPr>
        <w:t>risk-based audit</w:t>
      </w:r>
      <w:r w:rsidRPr="008E1AF1">
        <w:rPr>
          <w:rFonts w:cs="Times New Roman"/>
          <w:lang w:val="fi-FI"/>
        </w:rPr>
        <w:t xml:space="preserve">) tidak akan efektif jika auditor hanya memetakan risiko transaksional tanpa memahami posisi strategis klien dalam strukturindustrinya dan terhadap </w:t>
      </w:r>
      <w:r w:rsidRPr="008E1AF1">
        <w:rPr>
          <w:rFonts w:cs="Times New Roman"/>
          <w:i/>
          <w:iCs/>
          <w:lang w:val="fi-FI"/>
        </w:rPr>
        <w:t>driving forces</w:t>
      </w:r>
      <w:r w:rsidRPr="008E1AF1">
        <w:rPr>
          <w:rFonts w:cs="Times New Roman"/>
          <w:lang w:val="fi-FI"/>
        </w:rPr>
        <w:t xml:space="preserve"> yang sedang aktif.</w:t>
      </w:r>
    </w:p>
    <w:p w14:paraId="6AFDBA6D" w14:textId="77777777" w:rsidR="00256846" w:rsidRPr="008E1AF1" w:rsidRDefault="00000000" w:rsidP="008E1AF1">
      <w:pPr>
        <w:pStyle w:val="BodyText"/>
        <w:jc w:val="both"/>
        <w:rPr>
          <w:rFonts w:cs="Times New Roman"/>
          <w:lang w:val="fi-FI"/>
        </w:rPr>
      </w:pPr>
      <w:r w:rsidRPr="008E1AF1">
        <w:rPr>
          <w:rFonts w:cs="Times New Roman"/>
          <w:b/>
          <w:bCs/>
          <w:lang w:val="fi-FI"/>
        </w:rPr>
        <w:t>Ketiga</w:t>
      </w:r>
      <w:r w:rsidRPr="008E1AF1">
        <w:rPr>
          <w:rFonts w:cs="Times New Roman"/>
          <w:lang w:val="fi-FI"/>
        </w:rPr>
        <w:t xml:space="preserve">, pengungkapan strategis dalam laporan tahunan, termasuk </w:t>
      </w:r>
      <w:r w:rsidRPr="008E1AF1">
        <w:rPr>
          <w:rFonts w:cs="Times New Roman"/>
          <w:i/>
          <w:iCs/>
          <w:lang w:val="fi-FI"/>
        </w:rPr>
        <w:t>Management Discussion and Analysis</w:t>
      </w:r>
      <w:r w:rsidRPr="008E1AF1">
        <w:rPr>
          <w:rFonts w:cs="Times New Roman"/>
          <w:lang w:val="fi-FI"/>
        </w:rPr>
        <w:t xml:space="preserve"> dan laporan keberlanjutan, semakin dievaluasi pengguna laporan dengan kerangka analitis seperti PESTEL, Lima Kekuatan, dan agenda CSR strategis. Akuntan yang memahami kerangka ini akan menjadi mitra pelaporan yang lebih bernilai bagi manajemen.</w:t>
      </w:r>
    </w:p>
    <w:p w14:paraId="22E5D3DF" w14:textId="424B46A5" w:rsidR="00256846" w:rsidRPr="008E1AF1" w:rsidRDefault="00000000" w:rsidP="008E1AF1">
      <w:pPr>
        <w:pStyle w:val="Heading2"/>
        <w:jc w:val="both"/>
        <w:rPr>
          <w:rFonts w:ascii="Times New Roman" w:hAnsi="Times New Roman" w:cs="Times New Roman"/>
          <w:lang w:val="fi-FI"/>
        </w:rPr>
      </w:pPr>
      <w:bookmarkStart w:id="13" w:name="kesimpulan"/>
      <w:bookmarkEnd w:id="12"/>
      <w:r w:rsidRPr="008E1AF1">
        <w:rPr>
          <w:rFonts w:ascii="Times New Roman" w:hAnsi="Times New Roman" w:cs="Times New Roman"/>
          <w:lang w:val="fi-FI"/>
        </w:rPr>
        <w:t>1</w:t>
      </w:r>
      <w:r w:rsidR="008E1AF1">
        <w:rPr>
          <w:rFonts w:ascii="Times New Roman" w:hAnsi="Times New Roman" w:cs="Times New Roman"/>
          <w:lang w:val="fi-FI"/>
        </w:rPr>
        <w:t>0</w:t>
      </w:r>
      <w:r w:rsidRPr="008E1AF1">
        <w:rPr>
          <w:rFonts w:ascii="Times New Roman" w:hAnsi="Times New Roman" w:cs="Times New Roman"/>
          <w:lang w:val="fi-FI"/>
        </w:rPr>
        <w:t>. Kesimpulan</w:t>
      </w:r>
    </w:p>
    <w:p w14:paraId="65FDD79E" w14:textId="77777777" w:rsidR="00256846" w:rsidRPr="008E1AF1" w:rsidRDefault="00000000" w:rsidP="008E1AF1">
      <w:pPr>
        <w:jc w:val="both"/>
        <w:rPr>
          <w:rFonts w:cs="Times New Roman"/>
          <w:lang w:val="fi-FI"/>
        </w:rPr>
      </w:pPr>
      <w:r w:rsidRPr="008E1AF1">
        <w:rPr>
          <w:rFonts w:cs="Times New Roman"/>
          <w:lang w:val="fi-FI"/>
        </w:rPr>
        <w:t xml:space="preserve">Pertemuan 3 menetapkan bahwa pembacaan lingkungan eksternal adalah prasyarat dasar bagi formulasi strategi yang waras. Kerangka PESTEL menyediakan peta untuk lapisan makro, sementara Lima Kekuatan Porter, </w:t>
      </w:r>
      <w:r w:rsidRPr="008E1AF1">
        <w:rPr>
          <w:rFonts w:cs="Times New Roman"/>
          <w:i/>
          <w:iCs/>
          <w:lang w:val="fi-FI"/>
        </w:rPr>
        <w:t>strategic group mapping</w:t>
      </w:r>
      <w:r w:rsidRPr="008E1AF1">
        <w:rPr>
          <w:rFonts w:cs="Times New Roman"/>
          <w:lang w:val="fi-FI"/>
        </w:rPr>
        <w:t xml:space="preserve">, </w:t>
      </w:r>
      <w:r w:rsidRPr="008E1AF1">
        <w:rPr>
          <w:rFonts w:cs="Times New Roman"/>
          <w:i/>
          <w:iCs/>
          <w:lang w:val="fi-FI"/>
        </w:rPr>
        <w:t>driving forces</w:t>
      </w:r>
      <w:r w:rsidRPr="008E1AF1">
        <w:rPr>
          <w:rFonts w:cs="Times New Roman"/>
          <w:lang w:val="fi-FI"/>
        </w:rPr>
        <w:t>, dan KSF menyediakan peta untuk lapisan industri. Hubungan antara dua lapisan ini bersifat dinamis dan saling memengaruhi.</w:t>
      </w:r>
    </w:p>
    <w:p w14:paraId="5645BEC9" w14:textId="77777777" w:rsidR="00256846" w:rsidRPr="008E1AF1" w:rsidRDefault="00000000" w:rsidP="008E1AF1">
      <w:pPr>
        <w:pStyle w:val="BodyText"/>
        <w:jc w:val="both"/>
        <w:rPr>
          <w:rFonts w:cs="Times New Roman"/>
          <w:lang w:val="fi-FI"/>
        </w:rPr>
      </w:pPr>
      <w:r w:rsidRPr="008E1AF1">
        <w:rPr>
          <w:rFonts w:cs="Times New Roman"/>
          <w:lang w:val="fi-FI"/>
        </w:rPr>
        <w:t>Dua artikel pendamping memperkaya kerangka konvensional dengan dua perspektif yang penting. Newman et al. (2020) menyediakan bukti empiris bahwa CSR berinteraksi dengan struktur kompetisi industri dan menghasilkan dampak produktivitas yang nyata, terutama di industri terkonsentrasi. Mason (2007) menggugat asumsi linear di balik analisis lingkungan konvensional dan mengusulkan kerangka berbasis teori kompleksitas sebagai pelengkap. Bersama-sama, keduanya menegaskan bahwa analisis lingkungan eksternal yang baik harus berlapis, dinamis, dan jujur menghadapi keterbatasan kerangkanya sendiri.</w:t>
      </w:r>
    </w:p>
    <w:p w14:paraId="4CB4FE8F" w14:textId="77777777" w:rsidR="00256846" w:rsidRPr="008E1AF1" w:rsidRDefault="00000000" w:rsidP="008E1AF1">
      <w:pPr>
        <w:pStyle w:val="BodyText"/>
        <w:jc w:val="both"/>
        <w:rPr>
          <w:rFonts w:cs="Times New Roman"/>
          <w:lang w:val="fi-FI"/>
        </w:rPr>
      </w:pPr>
      <w:r w:rsidRPr="008E1AF1">
        <w:rPr>
          <w:rFonts w:cs="Times New Roman"/>
          <w:lang w:val="fi-FI"/>
        </w:rPr>
        <w:t>Bagi seorang manajer strategis, dan bagi seorang akuntan profesional yang membantunya, pelajaran yang paling penting dari pertemuan ini barangkali sederhana: lingkungan eksternal terlalu penting untuk dianalisis dengan dangkal, dan terlalu kompleks untuk diandaikan dapat dipetakan secara sempurna.</w:t>
      </w:r>
      <w:bookmarkEnd w:id="0"/>
      <w:bookmarkEnd w:id="13"/>
    </w:p>
    <w:sectPr w:rsidR="00256846" w:rsidRPr="008E1AF1"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8FAEC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13832966">
    <w:abstractNumId w:val="8"/>
  </w:num>
  <w:num w:numId="2" w16cid:durableId="1172837889">
    <w:abstractNumId w:val="6"/>
  </w:num>
  <w:num w:numId="3" w16cid:durableId="840126016">
    <w:abstractNumId w:val="5"/>
  </w:num>
  <w:num w:numId="4" w16cid:durableId="2114468772">
    <w:abstractNumId w:val="4"/>
  </w:num>
  <w:num w:numId="5" w16cid:durableId="727924851">
    <w:abstractNumId w:val="7"/>
  </w:num>
  <w:num w:numId="6" w16cid:durableId="687171653">
    <w:abstractNumId w:val="3"/>
  </w:num>
  <w:num w:numId="7" w16cid:durableId="707296540">
    <w:abstractNumId w:val="2"/>
  </w:num>
  <w:num w:numId="8" w16cid:durableId="66197921">
    <w:abstractNumId w:val="1"/>
  </w:num>
  <w:num w:numId="9" w16cid:durableId="964046435">
    <w:abstractNumId w:val="0"/>
  </w:num>
  <w:num w:numId="10" w16cid:durableId="13991337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846"/>
    <w:rsid w:val="0029639D"/>
    <w:rsid w:val="00326F90"/>
    <w:rsid w:val="00391546"/>
    <w:rsid w:val="008E1A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46B0D"/>
  <w15:docId w15:val="{A7B07ABF-D39E-4C4F-9E11-AE6E41C09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2835</Words>
  <Characters>16162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2</cp:revision>
  <dcterms:created xsi:type="dcterms:W3CDTF">2026-04-18T06:26:00Z</dcterms:created>
  <dcterms:modified xsi:type="dcterms:W3CDTF">2026-04-18T06:35:00Z</dcterms:modified>
</cp:coreProperties>
</file>